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1419C">
      <w:pPr>
        <w:jc w:val="center"/>
        <w:rPr>
          <w:b/>
          <w:bCs/>
          <w:sz w:val="44"/>
        </w:rPr>
      </w:pPr>
      <w:permStart w:id="0" w:edGrp="everyone"/>
      <w:r>
        <w:rPr>
          <w:rFonts w:hint="eastAsia"/>
          <w:sz w:val="24"/>
        </w:rPr>
        <w:t xml:space="preserve"> </w:t>
      </w:r>
      <w:r>
        <w:rPr>
          <w:rFonts w:hint="eastAsia" w:ascii="宋体" w:hAnsi="宋体"/>
          <w:b/>
          <w:bCs/>
          <w:sz w:val="44"/>
          <w:szCs w:val="44"/>
        </w:rPr>
        <w:t>新龙湖喷泉项目-</w:t>
      </w:r>
      <w:r>
        <w:rPr>
          <w:rFonts w:hint="eastAsia" w:ascii="宋体" w:hAnsi="宋体"/>
          <w:b/>
          <w:bCs/>
          <w:sz w:val="44"/>
          <w:szCs w:val="44"/>
          <w:lang w:eastAsia="zh-CN"/>
        </w:rPr>
        <w:t>水下</w:t>
      </w:r>
      <w:permEnd w:id="0"/>
      <w:r>
        <w:rPr>
          <w:rFonts w:hint="eastAsia"/>
          <w:b/>
          <w:bCs/>
          <w:sz w:val="44"/>
        </w:rPr>
        <w:t>电线电缆采购合同</w:t>
      </w:r>
    </w:p>
    <w:p w14:paraId="6A605E31">
      <w:pPr>
        <w:spacing w:line="360" w:lineRule="auto"/>
        <w:ind w:firstLine="480" w:firstLineChars="200"/>
        <w:jc w:val="left"/>
        <w:rPr>
          <w:sz w:val="24"/>
        </w:rPr>
      </w:pPr>
    </w:p>
    <w:p w14:paraId="31D0A4C2">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需方（以下简称甲方）：</w:t>
      </w:r>
      <w:permStart w:id="1" w:edGrp="everyone"/>
      <w:r>
        <w:rPr>
          <w:rFonts w:hint="eastAsia" w:cs="宋体"/>
          <w:b/>
          <w:color w:val="000000"/>
          <w:szCs w:val="21"/>
          <w:lang w:val="en-US" w:eastAsia="zh-CN"/>
        </w:rPr>
        <w:t>常州黑牡丹建设投资有限公司</w:t>
      </w:r>
      <w:r>
        <w:t xml:space="preserve">   </w:t>
      </w:r>
      <w:permEnd w:id="1"/>
    </w:p>
    <w:p w14:paraId="0DC9A8AB">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供方（以下简称乙方）：</w:t>
      </w:r>
      <w:permStart w:id="2" w:edGrp="everyone"/>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w:t>
      </w:r>
      <w:permEnd w:id="2"/>
    </w:p>
    <w:p w14:paraId="2EF86A56">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根据《中华人民共和国民法典》及有关法律、法规，为规范材料购销行为，保护双方的合法权益，明确双方责任，保证工程建设正常进行，经甲、乙双方友好协商，一致同意签订本合同，以便共同遵守。</w:t>
      </w:r>
    </w:p>
    <w:p w14:paraId="52A2AA1E">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一、工程概况</w:t>
      </w:r>
    </w:p>
    <w:p w14:paraId="7C166661">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工程名称：</w:t>
      </w:r>
      <w:permStart w:id="3" w:edGrp="everyone"/>
      <w:r>
        <w:rPr>
          <w:rFonts w:hint="eastAsia" w:asciiTheme="minorEastAsia" w:hAnsiTheme="minorEastAsia" w:eastAsiaTheme="minorEastAsia"/>
          <w:color w:val="000000" w:themeColor="text1"/>
          <w:szCs w:val="21"/>
          <w14:textFill>
            <w14:solidFill>
              <w14:schemeClr w14:val="tx1"/>
            </w14:solidFill>
          </w14:textFill>
        </w:rPr>
        <w:t>新龙湖喷泉项目-水下电线电缆采购</w:t>
      </w:r>
      <w:r>
        <w:rPr>
          <w:rFonts w:asciiTheme="minorEastAsia" w:hAnsiTheme="minorEastAsia" w:eastAsiaTheme="minorEastAsia"/>
          <w:color w:val="000000" w:themeColor="text1"/>
          <w:szCs w:val="21"/>
          <w14:textFill>
            <w14:solidFill>
              <w14:schemeClr w14:val="tx1"/>
            </w14:solidFill>
          </w14:textFill>
        </w:rPr>
        <w:t xml:space="preserve">  </w:t>
      </w:r>
      <w:permEnd w:id="3"/>
    </w:p>
    <w:p w14:paraId="4A44416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工程地点（交货地点）：</w:t>
      </w:r>
      <w:permStart w:id="4" w:edGrp="everyone"/>
      <w:r>
        <w:rPr>
          <w:rFonts w:hint="eastAsia" w:ascii="宋体" w:hAnsi="宋体" w:cs="仿宋_GB2312" w:eastAsiaTheme="minorEastAsia"/>
          <w:szCs w:val="21"/>
          <w:lang w:val="en-US" w:eastAsia="zh-CN"/>
        </w:rPr>
        <w:t>常州市新北区新龙湖音乐公园</w:t>
      </w:r>
      <w:r>
        <w:rPr>
          <w:rFonts w:asciiTheme="minorEastAsia" w:hAnsiTheme="minorEastAsia" w:eastAsiaTheme="minorEastAsia"/>
          <w:color w:val="000000" w:themeColor="text1"/>
          <w:szCs w:val="21"/>
          <w14:textFill>
            <w14:solidFill>
              <w14:schemeClr w14:val="tx1"/>
            </w14:solidFill>
          </w14:textFill>
        </w:rPr>
        <w:t xml:space="preserve">  </w:t>
      </w:r>
      <w:permEnd w:id="4"/>
    </w:p>
    <w:p w14:paraId="630DF709">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工程承包范围</w:t>
      </w:r>
      <w:r>
        <w:rPr>
          <w:rFonts w:hint="eastAsia" w:asciiTheme="minorEastAsia" w:hAnsiTheme="minorEastAsia" w:eastAsiaTheme="minorEastAsia"/>
          <w:color w:val="000000" w:themeColor="text1"/>
          <w:szCs w:val="21"/>
          <w14:textFill>
            <w14:solidFill>
              <w14:schemeClr w14:val="tx1"/>
            </w14:solidFill>
          </w14:textFill>
        </w:rPr>
        <w:t>：</w:t>
      </w:r>
      <w:permStart w:id="5" w:edGrp="everyone"/>
      <w:r>
        <w:rPr>
          <w:rFonts w:hint="eastAsia" w:asciiTheme="minorEastAsia" w:hAnsiTheme="minorEastAsia" w:eastAsiaTheme="minorEastAsia"/>
          <w:color w:val="000000" w:themeColor="text1"/>
          <w:szCs w:val="21"/>
          <w14:textFill>
            <w14:solidFill>
              <w14:schemeClr w14:val="tx1"/>
            </w14:solidFill>
          </w14:textFill>
        </w:rPr>
        <w:t>清单范围内电缆采购工程。</w:t>
      </w:r>
      <w:permEnd w:id="5"/>
    </w:p>
    <w:p w14:paraId="5C04130D">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二、工期要求</w:t>
      </w:r>
    </w:p>
    <w:p w14:paraId="3709C753">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1、开完工时间：</w:t>
      </w:r>
      <w:permStart w:id="6" w:edGrp="everyone"/>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年</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月</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日</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 xml:space="preserve">     年</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月</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日</w:t>
      </w:r>
      <w:r>
        <w:rPr>
          <w:rFonts w:hint="eastAsia" w:asciiTheme="minorEastAsia" w:hAnsiTheme="minorEastAsia" w:eastAsiaTheme="minorEastAsia"/>
          <w:color w:val="000000" w:themeColor="text1"/>
          <w:szCs w:val="21"/>
          <w14:textFill>
            <w14:solidFill>
              <w14:schemeClr w14:val="tx1"/>
            </w14:solidFill>
          </w14:textFill>
        </w:rPr>
        <w:t>。</w:t>
      </w:r>
      <w:permEnd w:id="6"/>
      <w:r>
        <w:rPr>
          <w:rFonts w:hint="eastAsia" w:ascii="宋体" w:hAnsi="宋体" w:cs="华文仿宋"/>
          <w:kern w:val="0"/>
          <w:szCs w:val="21"/>
        </w:rPr>
        <w:t>上述工期为暂定开工及完工日期，具体以甲方书面通知为准，乙方不得因甲方通知供货日期与暂估日期不符引起的材料价格变动要求价格调整。</w:t>
      </w:r>
    </w:p>
    <w:p w14:paraId="30EC5C45">
      <w:pPr>
        <w:spacing w:line="500" w:lineRule="exact"/>
        <w:ind w:firstLine="420" w:firstLineChars="200"/>
        <w:jc w:val="left"/>
        <w:rPr>
          <w:rFonts w:ascii="宋体" w:hAnsi="宋体" w:cs="华文仿宋"/>
          <w:kern w:val="0"/>
          <w:szCs w:val="21"/>
        </w:rPr>
      </w:pPr>
      <w:r>
        <w:rPr>
          <w:rFonts w:hint="eastAsia" w:asciiTheme="minorEastAsia" w:hAnsiTheme="minorEastAsia" w:eastAsiaTheme="minorEastAsia"/>
          <w:color w:val="000000" w:themeColor="text1"/>
          <w:szCs w:val="21"/>
          <w14:textFill>
            <w14:solidFill>
              <w14:schemeClr w14:val="tx1"/>
            </w14:solidFill>
          </w14:textFill>
        </w:rPr>
        <w:t>2、供货时间要求：</w:t>
      </w:r>
      <w:r>
        <w:rPr>
          <w:rFonts w:ascii="宋体" w:hAnsi="宋体" w:cs="华文仿宋"/>
          <w:kern w:val="0"/>
          <w:szCs w:val="21"/>
        </w:rPr>
        <w:t xml:space="preserve"> </w:t>
      </w:r>
    </w:p>
    <w:p w14:paraId="1C9CA314">
      <w:pPr>
        <w:spacing w:line="500" w:lineRule="exact"/>
        <w:ind w:firstLine="420" w:firstLineChars="200"/>
        <w:jc w:val="left"/>
        <w:rPr>
          <w:rFonts w:ascii="宋体" w:hAnsi="宋体" w:cs="华文仿宋"/>
          <w:kern w:val="0"/>
          <w:szCs w:val="21"/>
        </w:rPr>
      </w:pPr>
      <w:r>
        <w:rPr>
          <w:rFonts w:hint="eastAsia" w:ascii="宋体" w:hAnsi="宋体" w:cs="华文仿宋"/>
          <w:kern w:val="0"/>
          <w:szCs w:val="21"/>
        </w:rPr>
        <w:t>（1）</w:t>
      </w:r>
      <w:permStart w:id="7" w:edGrp="everyone"/>
      <w:r>
        <w:rPr>
          <w:rFonts w:hint="eastAsia" w:asciiTheme="minorEastAsia" w:hAnsiTheme="minorEastAsia" w:eastAsiaTheme="minorEastAsia"/>
          <w:szCs w:val="21"/>
        </w:rPr>
        <w:t>乙方应当在合同签订后</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lang w:val="en-US" w:eastAsia="zh-CN"/>
        </w:rPr>
        <w:t>15</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rPr>
        <w:t>天内将货物</w:t>
      </w:r>
      <w:r>
        <w:rPr>
          <w:rFonts w:hint="eastAsia" w:asciiTheme="minorEastAsia" w:hAnsiTheme="minorEastAsia" w:eastAsiaTheme="minorEastAsia"/>
          <w:szCs w:val="21"/>
          <w:lang w:val="en-US" w:eastAsia="zh-CN"/>
        </w:rPr>
        <w:t>全部运送至施工现场，</w:t>
      </w:r>
      <w:r>
        <w:rPr>
          <w:rFonts w:hint="eastAsia" w:asciiTheme="minorEastAsia" w:hAnsiTheme="minorEastAsia" w:eastAsiaTheme="minorEastAsia"/>
          <w:szCs w:val="21"/>
        </w:rPr>
        <w:t>地点由甲方指定</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发货当日现场验收合格</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配合第三方单位</w:t>
      </w:r>
      <w:r>
        <w:rPr>
          <w:rFonts w:hint="eastAsia" w:asciiTheme="minorEastAsia" w:hAnsiTheme="minorEastAsia" w:eastAsiaTheme="minorEastAsia"/>
          <w:szCs w:val="21"/>
        </w:rPr>
        <w:t>安装调试完毕交付甲方正常使用，</w:t>
      </w:r>
      <w:r>
        <w:rPr>
          <w:rFonts w:hint="eastAsia" w:asciiTheme="minorEastAsia" w:hAnsiTheme="minorEastAsia" w:eastAsiaTheme="minorEastAsia"/>
          <w:szCs w:val="21"/>
          <w:lang w:val="en-US" w:eastAsia="zh-CN"/>
        </w:rPr>
        <w:t>水下电缆供货</w:t>
      </w:r>
      <w:r>
        <w:rPr>
          <w:rFonts w:hint="eastAsia" w:asciiTheme="minorEastAsia" w:hAnsiTheme="minorEastAsia" w:eastAsiaTheme="minorEastAsia"/>
          <w:szCs w:val="21"/>
        </w:rPr>
        <w:t>需满足甲方施工进度要求</w:t>
      </w:r>
      <w:r>
        <w:rPr>
          <w:rFonts w:hint="eastAsia" w:ascii="宋体" w:hAnsi="宋体" w:cs="华文仿宋"/>
          <w:kern w:val="0"/>
          <w:szCs w:val="21"/>
        </w:rPr>
        <w:t>。</w:t>
      </w:r>
      <w:permEnd w:id="7"/>
    </w:p>
    <w:p w14:paraId="4F102424">
      <w:pPr>
        <w:spacing w:line="500" w:lineRule="exact"/>
        <w:ind w:firstLine="420" w:firstLineChars="200"/>
        <w:jc w:val="left"/>
        <w:rPr>
          <w:rFonts w:ascii="宋体" w:hAnsi="宋体" w:cs="华文仿宋"/>
          <w:kern w:val="0"/>
          <w:szCs w:val="21"/>
        </w:rPr>
      </w:pPr>
      <w:r>
        <w:rPr>
          <w:rFonts w:hint="eastAsia" w:ascii="宋体" w:hAnsi="宋体" w:cs="华文仿宋"/>
          <w:kern w:val="0"/>
          <w:szCs w:val="21"/>
        </w:rPr>
        <w:t>（2）产品的供货进度必须密切配合甲方的工程进度，乙方承担由于供货进度延误而导致甲方工程进度延误产生的赔偿责任。</w:t>
      </w:r>
    </w:p>
    <w:p w14:paraId="3307692D">
      <w:pPr>
        <w:spacing w:line="500" w:lineRule="exact"/>
        <w:ind w:firstLine="420" w:firstLineChars="200"/>
        <w:jc w:val="left"/>
        <w:rPr>
          <w:rFonts w:ascii="宋体" w:hAnsi="宋体" w:cs="华文仿宋"/>
          <w:kern w:val="0"/>
          <w:szCs w:val="21"/>
        </w:rPr>
      </w:pPr>
      <w:r>
        <w:rPr>
          <w:rFonts w:hint="eastAsia" w:ascii="宋体" w:hAnsi="宋体" w:cs="华文仿宋"/>
          <w:kern w:val="0"/>
          <w:szCs w:val="21"/>
        </w:rPr>
        <w:t>（3）该工期乙方已经充分考虑了各项用工、天气、假期等因素，对工程情况和进度已经充分了解，凭自身能力完全能够完成。</w:t>
      </w:r>
      <w:permStart w:id="8" w:edGrp="everyone"/>
    </w:p>
    <w:permEnd w:id="8"/>
    <w:p w14:paraId="5D8368F0">
      <w:pPr>
        <w:spacing w:line="500" w:lineRule="exact"/>
        <w:ind w:firstLine="422" w:firstLineChars="200"/>
        <w:jc w:val="left"/>
        <w:rPr>
          <w:rFonts w:hint="eastAsia" w:ascii="宋体" w:hAnsi="宋体" w:cs="华文仿宋"/>
          <w:kern w:val="0"/>
          <w:szCs w:val="21"/>
        </w:rPr>
      </w:pPr>
      <w:r>
        <w:rPr>
          <w:rFonts w:asciiTheme="minorEastAsia" w:hAnsiTheme="minorEastAsia" w:eastAsiaTheme="minorEastAsia"/>
          <w:b/>
          <w:color w:val="000000" w:themeColor="text1"/>
          <w:szCs w:val="21"/>
          <w14:textFill>
            <w14:solidFill>
              <w14:schemeClr w14:val="tx1"/>
            </w14:solidFill>
          </w14:textFill>
        </w:rPr>
        <w:t>三</w:t>
      </w:r>
      <w:r>
        <w:rPr>
          <w:rFonts w:hint="eastAsia" w:asciiTheme="minorEastAsia" w:hAnsiTheme="minorEastAsia" w:eastAsiaTheme="minorEastAsia"/>
          <w:b/>
          <w:color w:val="000000" w:themeColor="text1"/>
          <w:szCs w:val="21"/>
          <w14:textFill>
            <w14:solidFill>
              <w14:schemeClr w14:val="tx1"/>
            </w14:solidFill>
          </w14:textFill>
        </w:rPr>
        <w:t>、</w:t>
      </w:r>
      <w:r>
        <w:rPr>
          <w:rFonts w:asciiTheme="minorEastAsia" w:hAnsiTheme="minorEastAsia" w:eastAsiaTheme="minorEastAsia"/>
          <w:b/>
          <w:color w:val="000000" w:themeColor="text1"/>
          <w:szCs w:val="21"/>
          <w14:textFill>
            <w14:solidFill>
              <w14:schemeClr w14:val="tx1"/>
            </w14:solidFill>
          </w14:textFill>
        </w:rPr>
        <w:t>质量要求</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宋体" w:hAnsi="宋体" w:cs="华文仿宋"/>
          <w:kern w:val="0"/>
          <w:szCs w:val="21"/>
        </w:rPr>
        <w:t>一次性检测验收合格。</w:t>
      </w:r>
      <w:r>
        <w:rPr>
          <w:rFonts w:ascii="宋体" w:hAnsi="宋体" w:cs="华文仿宋"/>
          <w:kern w:val="0"/>
          <w:szCs w:val="21"/>
        </w:rPr>
        <w:t>按该产品的国家标准验收</w:t>
      </w:r>
      <w:r>
        <w:rPr>
          <w:rFonts w:hint="eastAsia" w:ascii="宋体" w:hAnsi="宋体" w:cs="华文仿宋"/>
          <w:kern w:val="0"/>
          <w:szCs w:val="21"/>
        </w:rPr>
        <w:t>，</w:t>
      </w:r>
      <w:r>
        <w:rPr>
          <w:rFonts w:ascii="宋体" w:hAnsi="宋体" w:cs="华文仿宋"/>
          <w:kern w:val="0"/>
          <w:szCs w:val="21"/>
        </w:rPr>
        <w:t>尚无国家标准的则按行业标准或上级主管部门本案的企业标准验收</w:t>
      </w:r>
      <w:r>
        <w:rPr>
          <w:rFonts w:hint="eastAsia" w:ascii="宋体" w:hAnsi="宋体" w:cs="华文仿宋"/>
          <w:kern w:val="0"/>
          <w:szCs w:val="21"/>
        </w:rPr>
        <w:t>。</w:t>
      </w:r>
      <w:r>
        <w:rPr>
          <w:rFonts w:ascii="宋体" w:hAnsi="宋体" w:cs="华文仿宋"/>
          <w:kern w:val="0"/>
          <w:szCs w:val="21"/>
        </w:rPr>
        <w:t>若未达到验收标准</w:t>
      </w:r>
      <w:r>
        <w:rPr>
          <w:rFonts w:hint="eastAsia" w:ascii="宋体" w:hAnsi="宋体" w:cs="华文仿宋"/>
          <w:kern w:val="0"/>
          <w:szCs w:val="21"/>
        </w:rPr>
        <w:t>，</w:t>
      </w:r>
      <w:r>
        <w:rPr>
          <w:rFonts w:ascii="宋体" w:hAnsi="宋体" w:cs="华文仿宋"/>
          <w:kern w:val="0"/>
          <w:szCs w:val="21"/>
        </w:rPr>
        <w:t>乙方应无条件满足甲方提出的调换</w:t>
      </w:r>
      <w:r>
        <w:rPr>
          <w:rFonts w:hint="eastAsia" w:ascii="宋体" w:hAnsi="宋体" w:cs="华文仿宋"/>
          <w:kern w:val="0"/>
          <w:szCs w:val="21"/>
        </w:rPr>
        <w:t>、</w:t>
      </w:r>
      <w:r>
        <w:rPr>
          <w:rFonts w:ascii="宋体" w:hAnsi="宋体" w:cs="华文仿宋"/>
          <w:kern w:val="0"/>
          <w:szCs w:val="21"/>
        </w:rPr>
        <w:t>退换</w:t>
      </w:r>
      <w:r>
        <w:rPr>
          <w:rFonts w:hint="eastAsia" w:ascii="宋体" w:hAnsi="宋体" w:cs="华文仿宋"/>
          <w:kern w:val="0"/>
          <w:szCs w:val="21"/>
        </w:rPr>
        <w:t>、</w:t>
      </w:r>
      <w:r>
        <w:rPr>
          <w:rFonts w:ascii="宋体" w:hAnsi="宋体" w:cs="华文仿宋"/>
          <w:kern w:val="0"/>
          <w:szCs w:val="21"/>
        </w:rPr>
        <w:t>退货</w:t>
      </w:r>
      <w:r>
        <w:rPr>
          <w:rFonts w:hint="eastAsia" w:ascii="宋体" w:hAnsi="宋体" w:cs="华文仿宋"/>
          <w:kern w:val="0"/>
          <w:szCs w:val="21"/>
        </w:rPr>
        <w:t>、</w:t>
      </w:r>
      <w:r>
        <w:rPr>
          <w:rFonts w:ascii="宋体" w:hAnsi="宋体" w:cs="华文仿宋"/>
          <w:kern w:val="0"/>
          <w:szCs w:val="21"/>
        </w:rPr>
        <w:t>返工等要求</w:t>
      </w:r>
      <w:r>
        <w:rPr>
          <w:rFonts w:hint="eastAsia" w:ascii="宋体" w:hAnsi="宋体" w:cs="华文仿宋"/>
          <w:kern w:val="0"/>
          <w:szCs w:val="21"/>
        </w:rPr>
        <w:t>，</w:t>
      </w:r>
      <w:r>
        <w:rPr>
          <w:rFonts w:ascii="宋体" w:hAnsi="宋体" w:cs="华文仿宋"/>
          <w:kern w:val="0"/>
          <w:szCs w:val="21"/>
        </w:rPr>
        <w:t>并承担由此造成一切损失</w:t>
      </w:r>
      <w:r>
        <w:rPr>
          <w:rFonts w:hint="eastAsia" w:ascii="宋体" w:hAnsi="宋体" w:cs="华文仿宋"/>
          <w:kern w:val="0"/>
          <w:szCs w:val="21"/>
        </w:rPr>
        <w:t>。</w:t>
      </w:r>
      <w:permStart w:id="9" w:edGrp="everyone"/>
    </w:p>
    <w:p w14:paraId="65E34BDA">
      <w:pPr>
        <w:spacing w:line="500" w:lineRule="exact"/>
        <w:ind w:firstLine="420" w:firstLineChars="200"/>
        <w:jc w:val="left"/>
        <w:rPr>
          <w:rFonts w:hint="eastAsia" w:ascii="宋体" w:hAnsi="宋体" w:cs="华文仿宋"/>
          <w:kern w:val="0"/>
          <w:szCs w:val="21"/>
        </w:rPr>
      </w:pPr>
      <w:r>
        <w:rPr>
          <w:rFonts w:hint="eastAsia" w:asciiTheme="minorEastAsia" w:hAnsiTheme="minorEastAsia" w:eastAsiaTheme="minorEastAsia"/>
          <w:color w:val="0000FF"/>
          <w:szCs w:val="21"/>
          <w:lang w:val="en-US" w:eastAsia="zh-CN"/>
        </w:rPr>
        <w:t>乙方应在发货前书面通知甲方对货物、数量和规格等进行确认验收（确认验收方式包括但不限于线上确认、现场核对等），并按照甲方最终确认的供货数量安排发货。</w:t>
      </w:r>
    </w:p>
    <w:permEnd w:id="9"/>
    <w:p w14:paraId="62F5B6C7">
      <w:pPr>
        <w:spacing w:line="500" w:lineRule="exact"/>
        <w:ind w:firstLine="422" w:firstLineChars="200"/>
        <w:jc w:val="left"/>
        <w:rPr>
          <w:rFonts w:ascii="宋体" w:hAnsi="宋体" w:cs="华文仿宋"/>
          <w:b/>
          <w:kern w:val="0"/>
          <w:szCs w:val="21"/>
        </w:rPr>
      </w:pPr>
      <w:r>
        <w:rPr>
          <w:rFonts w:ascii="宋体" w:hAnsi="宋体" w:cs="华文仿宋"/>
          <w:b/>
          <w:kern w:val="0"/>
          <w:szCs w:val="21"/>
        </w:rPr>
        <w:t>四</w:t>
      </w:r>
      <w:r>
        <w:rPr>
          <w:rFonts w:hint="eastAsia" w:ascii="宋体" w:hAnsi="宋体" w:cs="华文仿宋"/>
          <w:b/>
          <w:kern w:val="0"/>
          <w:szCs w:val="21"/>
        </w:rPr>
        <w:t>、</w:t>
      </w:r>
      <w:r>
        <w:rPr>
          <w:rFonts w:ascii="宋体" w:hAnsi="宋体" w:cs="华文仿宋"/>
          <w:b/>
          <w:kern w:val="0"/>
          <w:szCs w:val="21"/>
        </w:rPr>
        <w:t>签约合同价</w:t>
      </w:r>
    </w:p>
    <w:tbl>
      <w:tblPr>
        <w:tblStyle w:val="7"/>
        <w:tblW w:w="8406" w:type="dxa"/>
        <w:jc w:val="center"/>
        <w:tblLayout w:type="fixed"/>
        <w:tblCellMar>
          <w:top w:w="0" w:type="dxa"/>
          <w:left w:w="108" w:type="dxa"/>
          <w:bottom w:w="0" w:type="dxa"/>
          <w:right w:w="108" w:type="dxa"/>
        </w:tblCellMar>
      </w:tblPr>
      <w:tblGrid>
        <w:gridCol w:w="586"/>
        <w:gridCol w:w="1064"/>
        <w:gridCol w:w="2176"/>
        <w:gridCol w:w="696"/>
        <w:gridCol w:w="757"/>
        <w:gridCol w:w="1071"/>
        <w:gridCol w:w="1257"/>
        <w:gridCol w:w="799"/>
      </w:tblGrid>
      <w:tr w14:paraId="0E9A2DB9">
        <w:tblPrEx>
          <w:tblCellMar>
            <w:top w:w="0" w:type="dxa"/>
            <w:left w:w="108" w:type="dxa"/>
            <w:bottom w:w="0" w:type="dxa"/>
            <w:right w:w="108" w:type="dxa"/>
          </w:tblCellMar>
        </w:tblPrEx>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119DB1">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ermStart w:id="10" w:edGrp="everyone"/>
            <w:r>
              <w:rPr>
                <w:rFonts w:hint="eastAsia" w:cs="宋体" w:asciiTheme="minorEastAsia" w:hAnsiTheme="minorEastAsia" w:eastAsiaTheme="minorEastAsia"/>
                <w:color w:val="000000" w:themeColor="text1"/>
                <w:kern w:val="0"/>
                <w:szCs w:val="21"/>
                <w14:textFill>
                  <w14:solidFill>
                    <w14:schemeClr w14:val="tx1"/>
                  </w14:solidFill>
                </w14:textFill>
              </w:rPr>
              <w:t>序号</w:t>
            </w:r>
          </w:p>
        </w:tc>
        <w:tc>
          <w:tcPr>
            <w:tcW w:w="1064" w:type="dxa"/>
            <w:tcBorders>
              <w:top w:val="single" w:color="auto" w:sz="4" w:space="0"/>
              <w:left w:val="nil"/>
              <w:bottom w:val="single" w:color="auto" w:sz="4" w:space="0"/>
              <w:right w:val="single" w:color="auto" w:sz="4" w:space="0"/>
            </w:tcBorders>
            <w:shd w:val="clear" w:color="auto" w:fill="auto"/>
            <w:noWrap/>
            <w:vAlign w:val="center"/>
          </w:tcPr>
          <w:p w14:paraId="2C577146">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名称</w:t>
            </w:r>
          </w:p>
        </w:tc>
        <w:tc>
          <w:tcPr>
            <w:tcW w:w="2176" w:type="dxa"/>
            <w:tcBorders>
              <w:top w:val="single" w:color="auto" w:sz="4" w:space="0"/>
              <w:left w:val="nil"/>
              <w:bottom w:val="single" w:color="auto" w:sz="4" w:space="0"/>
              <w:right w:val="single" w:color="auto" w:sz="4" w:space="0"/>
            </w:tcBorders>
            <w:shd w:val="clear" w:color="auto" w:fill="auto"/>
            <w:noWrap/>
            <w:vAlign w:val="center"/>
          </w:tcPr>
          <w:p w14:paraId="194309A4">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规格</w:t>
            </w:r>
          </w:p>
        </w:tc>
        <w:tc>
          <w:tcPr>
            <w:tcW w:w="696" w:type="dxa"/>
            <w:tcBorders>
              <w:top w:val="single" w:color="auto" w:sz="4" w:space="0"/>
              <w:left w:val="nil"/>
              <w:bottom w:val="single" w:color="auto" w:sz="4" w:space="0"/>
              <w:right w:val="single" w:color="auto" w:sz="4" w:space="0"/>
            </w:tcBorders>
            <w:shd w:val="clear" w:color="auto" w:fill="auto"/>
            <w:noWrap/>
            <w:vAlign w:val="center"/>
          </w:tcPr>
          <w:p w14:paraId="5CA03D06">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单位</w:t>
            </w:r>
          </w:p>
        </w:tc>
        <w:tc>
          <w:tcPr>
            <w:tcW w:w="757" w:type="dxa"/>
            <w:tcBorders>
              <w:top w:val="single" w:color="auto" w:sz="4" w:space="0"/>
              <w:left w:val="nil"/>
              <w:bottom w:val="single" w:color="auto" w:sz="4" w:space="0"/>
              <w:right w:val="single" w:color="auto" w:sz="4" w:space="0"/>
            </w:tcBorders>
            <w:shd w:val="clear" w:color="auto" w:fill="auto"/>
            <w:noWrap/>
            <w:vAlign w:val="center"/>
          </w:tcPr>
          <w:p w14:paraId="5C0D64EA">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数量</w:t>
            </w:r>
          </w:p>
        </w:tc>
        <w:tc>
          <w:tcPr>
            <w:tcW w:w="1071" w:type="dxa"/>
            <w:tcBorders>
              <w:top w:val="single" w:color="auto" w:sz="4" w:space="0"/>
              <w:left w:val="nil"/>
              <w:bottom w:val="single" w:color="auto" w:sz="4" w:space="0"/>
              <w:right w:val="single" w:color="auto" w:sz="4" w:space="0"/>
            </w:tcBorders>
            <w:shd w:val="clear" w:color="auto" w:fill="auto"/>
            <w:noWrap/>
            <w:vAlign w:val="center"/>
          </w:tcPr>
          <w:p w14:paraId="4EB7B6AB">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单价（元）</w:t>
            </w:r>
          </w:p>
        </w:tc>
        <w:tc>
          <w:tcPr>
            <w:tcW w:w="1257" w:type="dxa"/>
            <w:tcBorders>
              <w:top w:val="single" w:color="auto" w:sz="4" w:space="0"/>
              <w:left w:val="nil"/>
              <w:bottom w:val="single" w:color="auto" w:sz="4" w:space="0"/>
              <w:right w:val="single" w:color="auto" w:sz="4" w:space="0"/>
            </w:tcBorders>
            <w:shd w:val="clear" w:color="auto" w:fill="auto"/>
            <w:noWrap/>
            <w:vAlign w:val="center"/>
          </w:tcPr>
          <w:p w14:paraId="1394C19A">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金额（元）</w:t>
            </w:r>
          </w:p>
        </w:tc>
        <w:tc>
          <w:tcPr>
            <w:tcW w:w="799" w:type="dxa"/>
            <w:tcBorders>
              <w:top w:val="single" w:color="auto" w:sz="4" w:space="0"/>
              <w:left w:val="nil"/>
              <w:bottom w:val="single" w:color="auto" w:sz="4" w:space="0"/>
              <w:right w:val="single" w:color="auto" w:sz="4" w:space="0"/>
            </w:tcBorders>
            <w:shd w:val="clear" w:color="auto" w:fill="auto"/>
            <w:noWrap/>
            <w:vAlign w:val="center"/>
          </w:tcPr>
          <w:p w14:paraId="4862DB5A">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备注</w:t>
            </w:r>
          </w:p>
        </w:tc>
      </w:tr>
      <w:tr w14:paraId="180B0FAC">
        <w:tblPrEx>
          <w:tblCellMar>
            <w:top w:w="0" w:type="dxa"/>
            <w:left w:w="108" w:type="dxa"/>
            <w:bottom w:w="0" w:type="dxa"/>
            <w:right w:w="108" w:type="dxa"/>
          </w:tblCellMar>
        </w:tblPrEx>
        <w:trPr>
          <w:trHeight w:val="270" w:hRule="atLeast"/>
          <w:jc w:val="center"/>
        </w:trPr>
        <w:tc>
          <w:tcPr>
            <w:tcW w:w="586" w:type="dxa"/>
            <w:tcBorders>
              <w:top w:val="nil"/>
              <w:left w:val="single" w:color="auto" w:sz="4" w:space="0"/>
              <w:bottom w:val="single" w:color="auto" w:sz="4" w:space="0"/>
              <w:right w:val="single" w:color="auto" w:sz="4" w:space="0"/>
            </w:tcBorders>
            <w:shd w:val="clear" w:color="auto" w:fill="auto"/>
            <w:noWrap/>
            <w:vAlign w:val="center"/>
          </w:tcPr>
          <w:p w14:paraId="777DD4A2">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1</w:t>
            </w:r>
          </w:p>
        </w:tc>
        <w:tc>
          <w:tcPr>
            <w:tcW w:w="1064" w:type="dxa"/>
            <w:tcBorders>
              <w:top w:val="nil"/>
              <w:left w:val="nil"/>
              <w:bottom w:val="single" w:color="auto" w:sz="4" w:space="0"/>
              <w:right w:val="single" w:color="auto" w:sz="4" w:space="0"/>
            </w:tcBorders>
            <w:shd w:val="clear" w:color="auto" w:fill="auto"/>
            <w:noWrap/>
            <w:vAlign w:val="center"/>
          </w:tcPr>
          <w:p w14:paraId="5F2E9450">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防水橡胶电缆</w:t>
            </w:r>
          </w:p>
        </w:tc>
        <w:tc>
          <w:tcPr>
            <w:tcW w:w="2176" w:type="dxa"/>
            <w:tcBorders>
              <w:top w:val="nil"/>
              <w:left w:val="nil"/>
              <w:bottom w:val="single" w:color="auto" w:sz="4" w:space="0"/>
              <w:right w:val="single" w:color="auto" w:sz="4" w:space="0"/>
            </w:tcBorders>
            <w:shd w:val="clear" w:color="auto" w:fill="auto"/>
            <w:noWrap/>
            <w:vAlign w:val="center"/>
          </w:tcPr>
          <w:p w14:paraId="7445E7CF">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1.全新4*1.5mm²；                                2.满足水下长期使用，保持良好的电气绝缘性能；</w:t>
            </w:r>
          </w:p>
        </w:tc>
        <w:tc>
          <w:tcPr>
            <w:tcW w:w="696" w:type="dxa"/>
            <w:tcBorders>
              <w:top w:val="nil"/>
              <w:left w:val="nil"/>
              <w:bottom w:val="single" w:color="auto" w:sz="4" w:space="0"/>
              <w:right w:val="single" w:color="auto" w:sz="4" w:space="0"/>
            </w:tcBorders>
            <w:shd w:val="clear" w:color="auto" w:fill="auto"/>
            <w:noWrap/>
            <w:vAlign w:val="center"/>
          </w:tcPr>
          <w:p w14:paraId="784B5A27">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nil"/>
              <w:left w:val="nil"/>
              <w:bottom w:val="single" w:color="auto" w:sz="4" w:space="0"/>
              <w:right w:val="single" w:color="auto" w:sz="4" w:space="0"/>
            </w:tcBorders>
            <w:shd w:val="clear" w:color="auto" w:fill="auto"/>
            <w:noWrap/>
            <w:vAlign w:val="center"/>
          </w:tcPr>
          <w:p w14:paraId="362FD90A">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13000</w:t>
            </w:r>
          </w:p>
        </w:tc>
        <w:tc>
          <w:tcPr>
            <w:tcW w:w="1071" w:type="dxa"/>
            <w:tcBorders>
              <w:top w:val="nil"/>
              <w:left w:val="nil"/>
              <w:bottom w:val="single" w:color="auto" w:sz="4" w:space="0"/>
              <w:right w:val="single" w:color="auto" w:sz="4" w:space="0"/>
            </w:tcBorders>
            <w:shd w:val="clear" w:color="auto" w:fill="auto"/>
            <w:noWrap/>
            <w:vAlign w:val="center"/>
          </w:tcPr>
          <w:p w14:paraId="0E16F118">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nil"/>
              <w:left w:val="nil"/>
              <w:bottom w:val="single" w:color="auto" w:sz="4" w:space="0"/>
              <w:right w:val="single" w:color="auto" w:sz="4" w:space="0"/>
            </w:tcBorders>
            <w:shd w:val="clear" w:color="auto" w:fill="auto"/>
            <w:noWrap/>
            <w:vAlign w:val="center"/>
          </w:tcPr>
          <w:p w14:paraId="7D4393B7">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nil"/>
              <w:left w:val="nil"/>
              <w:bottom w:val="single" w:color="auto" w:sz="4" w:space="0"/>
              <w:right w:val="single" w:color="auto" w:sz="4" w:space="0"/>
            </w:tcBorders>
            <w:shd w:val="clear" w:color="auto" w:fill="auto"/>
            <w:noWrap/>
            <w:vAlign w:val="center"/>
          </w:tcPr>
          <w:p w14:paraId="0CA31C98">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30347C6F">
        <w:tblPrEx>
          <w:tblCellMar>
            <w:top w:w="0" w:type="dxa"/>
            <w:left w:w="108" w:type="dxa"/>
            <w:bottom w:w="0" w:type="dxa"/>
            <w:right w:w="108" w:type="dxa"/>
          </w:tblCellMar>
        </w:tblPrEx>
        <w:trPr>
          <w:trHeight w:val="270" w:hRule="atLeast"/>
          <w:jc w:val="center"/>
        </w:trPr>
        <w:tc>
          <w:tcPr>
            <w:tcW w:w="586" w:type="dxa"/>
            <w:tcBorders>
              <w:top w:val="nil"/>
              <w:left w:val="single" w:color="auto" w:sz="4" w:space="0"/>
              <w:bottom w:val="single" w:color="auto" w:sz="4" w:space="0"/>
              <w:right w:val="single" w:color="auto" w:sz="4" w:space="0"/>
            </w:tcBorders>
            <w:shd w:val="clear" w:color="auto" w:fill="auto"/>
            <w:noWrap/>
            <w:vAlign w:val="center"/>
          </w:tcPr>
          <w:p w14:paraId="454F9CBB">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2</w:t>
            </w:r>
          </w:p>
        </w:tc>
        <w:tc>
          <w:tcPr>
            <w:tcW w:w="1064" w:type="dxa"/>
            <w:tcBorders>
              <w:top w:val="nil"/>
              <w:left w:val="nil"/>
              <w:bottom w:val="single" w:color="auto" w:sz="4" w:space="0"/>
              <w:right w:val="single" w:color="auto" w:sz="4" w:space="0"/>
            </w:tcBorders>
            <w:shd w:val="clear" w:color="auto" w:fill="auto"/>
            <w:noWrap/>
            <w:vAlign w:val="center"/>
          </w:tcPr>
          <w:p w14:paraId="3FEA5020">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防水橡胶屏蔽电缆</w:t>
            </w:r>
          </w:p>
        </w:tc>
        <w:tc>
          <w:tcPr>
            <w:tcW w:w="2176" w:type="dxa"/>
            <w:tcBorders>
              <w:top w:val="nil"/>
              <w:left w:val="nil"/>
              <w:bottom w:val="single" w:color="auto" w:sz="4" w:space="0"/>
              <w:right w:val="single" w:color="auto" w:sz="4" w:space="0"/>
            </w:tcBorders>
            <w:shd w:val="clear" w:color="auto" w:fill="auto"/>
            <w:noWrap/>
            <w:vAlign w:val="center"/>
          </w:tcPr>
          <w:p w14:paraId="2DA5C923">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1.全新4*1.5mm²；                                2.满足水下长期使用，保持良好的电气绝缘性能；</w:t>
            </w:r>
          </w:p>
        </w:tc>
        <w:tc>
          <w:tcPr>
            <w:tcW w:w="696" w:type="dxa"/>
            <w:tcBorders>
              <w:top w:val="nil"/>
              <w:left w:val="nil"/>
              <w:bottom w:val="single" w:color="auto" w:sz="4" w:space="0"/>
              <w:right w:val="single" w:color="auto" w:sz="4" w:space="0"/>
            </w:tcBorders>
            <w:shd w:val="clear" w:color="auto" w:fill="auto"/>
            <w:noWrap/>
            <w:vAlign w:val="center"/>
          </w:tcPr>
          <w:p w14:paraId="41849BAA">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nil"/>
              <w:left w:val="nil"/>
              <w:bottom w:val="single" w:color="auto" w:sz="4" w:space="0"/>
              <w:right w:val="single" w:color="auto" w:sz="4" w:space="0"/>
            </w:tcBorders>
            <w:shd w:val="clear" w:color="auto" w:fill="auto"/>
            <w:noWrap/>
            <w:vAlign w:val="center"/>
          </w:tcPr>
          <w:p w14:paraId="667236C9">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6500</w:t>
            </w:r>
          </w:p>
        </w:tc>
        <w:tc>
          <w:tcPr>
            <w:tcW w:w="1071" w:type="dxa"/>
            <w:tcBorders>
              <w:top w:val="nil"/>
              <w:left w:val="nil"/>
              <w:bottom w:val="single" w:color="auto" w:sz="4" w:space="0"/>
              <w:right w:val="single" w:color="auto" w:sz="4" w:space="0"/>
            </w:tcBorders>
            <w:shd w:val="clear" w:color="auto" w:fill="auto"/>
            <w:noWrap/>
            <w:vAlign w:val="center"/>
          </w:tcPr>
          <w:p w14:paraId="62A5D42B">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nil"/>
              <w:left w:val="nil"/>
              <w:bottom w:val="single" w:color="auto" w:sz="4" w:space="0"/>
              <w:right w:val="single" w:color="auto" w:sz="4" w:space="0"/>
            </w:tcBorders>
            <w:shd w:val="clear" w:color="auto" w:fill="auto"/>
            <w:noWrap/>
            <w:vAlign w:val="center"/>
          </w:tcPr>
          <w:p w14:paraId="1CDA649E">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nil"/>
              <w:left w:val="nil"/>
              <w:bottom w:val="single" w:color="auto" w:sz="4" w:space="0"/>
              <w:right w:val="single" w:color="auto" w:sz="4" w:space="0"/>
            </w:tcBorders>
            <w:shd w:val="clear" w:color="auto" w:fill="auto"/>
            <w:noWrap/>
            <w:vAlign w:val="center"/>
          </w:tcPr>
          <w:p w14:paraId="4993C1FD">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6D608538">
        <w:tblPrEx>
          <w:tblCellMar>
            <w:top w:w="0" w:type="dxa"/>
            <w:left w:w="108" w:type="dxa"/>
            <w:bottom w:w="0" w:type="dxa"/>
            <w:right w:w="108" w:type="dxa"/>
          </w:tblCellMar>
        </w:tblPrEx>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62581D">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3</w:t>
            </w: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6DD964">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防水橡胶屏蔽电缆</w:t>
            </w:r>
          </w:p>
        </w:tc>
        <w:tc>
          <w:tcPr>
            <w:tcW w:w="21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DEBDB9">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1.全新3*1.5mm²；                                2.满足水下长期使用，保持良好的电气绝缘性能；</w:t>
            </w:r>
          </w:p>
        </w:tc>
        <w:tc>
          <w:tcPr>
            <w:tcW w:w="6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E5554B">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5DB17F">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10000</w:t>
            </w: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66D09D">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5125DD">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1E7037">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0E6C91A9">
        <w:tblPrEx>
          <w:tblCellMar>
            <w:top w:w="0" w:type="dxa"/>
            <w:left w:w="108" w:type="dxa"/>
            <w:bottom w:w="0" w:type="dxa"/>
            <w:right w:w="108" w:type="dxa"/>
          </w:tblCellMar>
        </w:tblPrEx>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3A75D5">
            <w:pPr>
              <w:widowControl/>
              <w:spacing w:line="500" w:lineRule="exact"/>
              <w:jc w:val="cente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4</w:t>
            </w: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E3B274">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防水橡胶电缆</w:t>
            </w:r>
          </w:p>
        </w:tc>
        <w:tc>
          <w:tcPr>
            <w:tcW w:w="21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E390DA">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1.全新3*1.5mm²；                                2.满足水下长期使用，保持良好的电气绝缘性能；</w:t>
            </w:r>
          </w:p>
        </w:tc>
        <w:tc>
          <w:tcPr>
            <w:tcW w:w="6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8B6F86">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7AC357">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25500</w:t>
            </w: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DAFAAA">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18CF82">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39F900">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20DD9FF3">
        <w:tblPrEx>
          <w:tblCellMar>
            <w:top w:w="0" w:type="dxa"/>
            <w:left w:w="108" w:type="dxa"/>
            <w:bottom w:w="0" w:type="dxa"/>
            <w:right w:w="108" w:type="dxa"/>
          </w:tblCellMar>
        </w:tblPrEx>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1675EB">
            <w:pPr>
              <w:widowControl/>
              <w:spacing w:line="500" w:lineRule="exact"/>
              <w:jc w:val="cente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5</w:t>
            </w: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D86868">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防水橡胶电缆</w:t>
            </w:r>
          </w:p>
        </w:tc>
        <w:tc>
          <w:tcPr>
            <w:tcW w:w="21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768A02">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1.全新3*2.5mm²；                                2.满足水下长期使用，保持良好的电气绝缘性能；</w:t>
            </w:r>
          </w:p>
        </w:tc>
        <w:tc>
          <w:tcPr>
            <w:tcW w:w="6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D1A49A">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5B070A">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6000</w:t>
            </w: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5A02C0">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8FD184">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17E76D">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4F4DDA27">
        <w:tblPrEx>
          <w:tblCellMar>
            <w:top w:w="0" w:type="dxa"/>
            <w:left w:w="108" w:type="dxa"/>
            <w:bottom w:w="0" w:type="dxa"/>
            <w:right w:w="108" w:type="dxa"/>
          </w:tblCellMar>
        </w:tblPrEx>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5437E5">
            <w:pPr>
              <w:widowControl/>
              <w:spacing w:line="500" w:lineRule="exact"/>
              <w:jc w:val="cente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6</w:t>
            </w: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C5FFE3">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防水橡胶电缆</w:t>
            </w:r>
          </w:p>
        </w:tc>
        <w:tc>
          <w:tcPr>
            <w:tcW w:w="21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6D9A10">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1.全新3*4+1*2.5mm²；                                2.满足水下长期使用，保持良好的电气绝缘性能；</w:t>
            </w:r>
          </w:p>
        </w:tc>
        <w:tc>
          <w:tcPr>
            <w:tcW w:w="6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8EE028">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276BD1">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6000</w:t>
            </w: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4E67B4">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713532">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DCFA58">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4703CE9E">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98FC71">
            <w:pPr>
              <w:widowControl/>
              <w:spacing w:line="500" w:lineRule="exact"/>
              <w:jc w:val="cente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7</w:t>
            </w: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508ABF">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防水橡胶电缆</w:t>
            </w:r>
          </w:p>
        </w:tc>
        <w:tc>
          <w:tcPr>
            <w:tcW w:w="21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4A7A48">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1.全新3*10+1*6mm²；                                2.满足水下长期使用，保持良好的电气绝缘性能；</w:t>
            </w:r>
          </w:p>
        </w:tc>
        <w:tc>
          <w:tcPr>
            <w:tcW w:w="6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8E7BE2">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3F500A">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3650</w:t>
            </w: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A3D5CF">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4AE36D">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B57D29">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34D4D91C">
        <w:tblPrEx>
          <w:tblCellMar>
            <w:top w:w="0" w:type="dxa"/>
            <w:left w:w="108" w:type="dxa"/>
            <w:bottom w:w="0" w:type="dxa"/>
            <w:right w:w="108" w:type="dxa"/>
          </w:tblCellMar>
        </w:tblPrEx>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A8CD2B">
            <w:pPr>
              <w:widowControl/>
              <w:spacing w:line="500" w:lineRule="exact"/>
              <w:jc w:val="cente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8</w:t>
            </w:r>
          </w:p>
        </w:tc>
        <w:tc>
          <w:tcPr>
            <w:tcW w:w="324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9052321">
            <w:pPr>
              <w:widowControl/>
              <w:spacing w:line="500" w:lineRule="exact"/>
              <w:jc w:val="cente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合计</w:t>
            </w:r>
          </w:p>
        </w:tc>
        <w:tc>
          <w:tcPr>
            <w:tcW w:w="6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D9873F">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EE2B1F">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12B498">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8BFAB7">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4E436F">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bl>
    <w:p w14:paraId="50E310E0">
      <w:pPr>
        <w:pStyle w:val="11"/>
        <w:widowControl/>
        <w:tabs>
          <w:tab w:val="left" w:pos="5080"/>
        </w:tabs>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1、合同含税总价         元（大写:</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），其中，不含税价款为      元，税率为     %，税金</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元。</w:t>
      </w:r>
      <w:permEnd w:id="10"/>
    </w:p>
    <w:p w14:paraId="6AEE7339">
      <w:pPr>
        <w:pStyle w:val="5"/>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2、本合同价格包含</w:t>
      </w:r>
      <w:permStart w:id="11" w:edGrp="everyone"/>
      <w:r>
        <w:rPr>
          <w:rFonts w:hint="eastAsia" w:asciiTheme="minorEastAsia" w:hAnsiTheme="minorEastAsia" w:eastAsiaTheme="minorEastAsia"/>
          <w:color w:val="000000" w:themeColor="text1"/>
          <w:szCs w:val="21"/>
          <w14:textFill>
            <w14:solidFill>
              <w14:schemeClr w14:val="tx1"/>
            </w14:solidFill>
          </w14:textFill>
        </w:rPr>
        <w:t>产品的采购、产品加工制造、税金、包装、运输（含保险）、装卸、搬运、安装指导、配合调试、配合验收、备品备件、售后服务、维修保养等工作及一定范围内的风险所发生的一切费用，还包括政府质量监督部门要求的抽检、因质量问题引起的维修和更换、技术指导等费用。</w:t>
      </w:r>
      <w:permEnd w:id="11"/>
    </w:p>
    <w:p w14:paraId="365FAFF5">
      <w:pPr>
        <w:pStyle w:val="5"/>
        <w:spacing w:line="500" w:lineRule="exact"/>
        <w:ind w:firstLine="420" w:firstLineChars="200"/>
        <w:jc w:val="left"/>
      </w:pPr>
      <w:r>
        <w:rPr>
          <w:rFonts w:hint="eastAsia"/>
        </w:rPr>
        <w:t>3、乙方的供货数量必须满足甲方的要求，甲方对合同规定的数量做出增加或减少时，乙方必须按照甲方规定的数量供货，最终结算时按实结算。</w:t>
      </w:r>
    </w:p>
    <w:p w14:paraId="386EA8BA">
      <w:pPr>
        <w:pStyle w:val="5"/>
        <w:spacing w:line="500" w:lineRule="exact"/>
        <w:ind w:firstLine="420" w:firstLineChars="200"/>
        <w:jc w:val="left"/>
      </w:pPr>
      <w:r>
        <w:rPr>
          <w:rFonts w:hint="eastAsia"/>
        </w:rPr>
        <w:t>4、如遇国家税率调整，不含税单价保持不变。</w:t>
      </w:r>
      <w:permStart w:id="12" w:edGrp="everyone"/>
    </w:p>
    <w:permEnd w:id="12"/>
    <w:p w14:paraId="54FE4A8D">
      <w:pPr>
        <w:spacing w:line="500" w:lineRule="exact"/>
        <w:ind w:firstLine="422" w:firstLineChars="200"/>
        <w:jc w:val="left"/>
        <w:rPr>
          <w:rFonts w:ascii="宋体" w:hAnsi="宋体" w:cs="华文仿宋"/>
          <w:b/>
          <w:kern w:val="0"/>
          <w:szCs w:val="21"/>
        </w:rPr>
      </w:pPr>
      <w:r>
        <w:rPr>
          <w:rFonts w:hint="eastAsia" w:ascii="宋体" w:hAnsi="宋体" w:cs="华文仿宋"/>
          <w:b/>
          <w:kern w:val="0"/>
          <w:szCs w:val="21"/>
        </w:rPr>
        <w:t>五、结算方式</w:t>
      </w:r>
    </w:p>
    <w:p w14:paraId="6166EF97">
      <w:pPr>
        <w:pStyle w:val="5"/>
        <w:spacing w:line="500" w:lineRule="exact"/>
        <w:ind w:firstLine="420" w:firstLineChars="200"/>
        <w:jc w:val="left"/>
      </w:pPr>
      <w:r>
        <w:rPr>
          <w:rFonts w:hint="eastAsia"/>
        </w:rPr>
        <w:t>1、本合同采用</w:t>
      </w:r>
      <w:permStart w:id="13" w:edGrp="everyone"/>
      <w:r>
        <w:rPr>
          <w:rFonts w:hint="eastAsia"/>
        </w:rPr>
        <w:t>全费用单价，按实结算</w:t>
      </w:r>
      <w:permEnd w:id="13"/>
      <w:r>
        <w:rPr>
          <w:rFonts w:hint="eastAsia"/>
        </w:rPr>
        <w:t>。</w:t>
      </w:r>
    </w:p>
    <w:p w14:paraId="34A2DDEE">
      <w:pPr>
        <w:pStyle w:val="5"/>
        <w:spacing w:line="500" w:lineRule="exact"/>
        <w:ind w:firstLine="420" w:firstLineChars="200"/>
        <w:jc w:val="left"/>
      </w:pPr>
      <w:r>
        <w:rPr>
          <w:rFonts w:hint="eastAsia"/>
        </w:rPr>
        <w:t>2、甲方有权根据现场实际情况在乙方设备生产之前提出设计变更，乙方不得因此提出索赔，变更减少的设备按投标清单的中标价扣除，增加的设备在清单中有的，按中标价格执行，若增加的设备在清单中没有的，双方协商解决。</w:t>
      </w:r>
    </w:p>
    <w:p w14:paraId="5F83A50B">
      <w:pPr>
        <w:pStyle w:val="5"/>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3、乙方</w:t>
      </w:r>
      <w:r>
        <w:rPr>
          <w:rFonts w:asciiTheme="minorEastAsia" w:hAnsiTheme="minorEastAsia" w:eastAsiaTheme="minorEastAsia"/>
          <w:color w:val="000000" w:themeColor="text1"/>
          <w:szCs w:val="21"/>
          <w14:textFill>
            <w14:solidFill>
              <w14:schemeClr w14:val="tx1"/>
            </w14:solidFill>
          </w14:textFill>
        </w:rPr>
        <w:t>对所上报的审计结算资料需认真复核，若累计审计核减额超出工程结算价的5%时，其超出部分的审核费由</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承担，</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支付给</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，再由</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支付给结算审计单位。工程结算审计完成后，</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应配合</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对初审结果进行复审（若需），复审金额作为审定金额。</w:t>
      </w:r>
    </w:p>
    <w:p w14:paraId="09ECD366">
      <w:pPr>
        <w:pStyle w:val="5"/>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4、调差机制：</w:t>
      </w:r>
    </w:p>
    <w:p w14:paraId="19F4BBB3">
      <w:pPr>
        <w:pStyle w:val="5"/>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permStart w:id="14" w:edGrp="everyone"/>
      <w:r>
        <w:rPr>
          <w:rFonts w:hint="eastAsia" w:asciiTheme="minorEastAsia" w:hAnsiTheme="minorEastAsia" w:eastAsiaTheme="minorEastAsia"/>
          <w:color w:val="000000" w:themeColor="text1"/>
          <w:szCs w:val="21"/>
          <w14:textFill>
            <w14:solidFill>
              <w14:schemeClr w14:val="tx1"/>
            </w14:solidFill>
          </w14:textFill>
        </w:rPr>
        <w:t>/。</w:t>
      </w:r>
    </w:p>
    <w:permEnd w:id="14"/>
    <w:p w14:paraId="58CB5224">
      <w:pPr>
        <w:spacing w:line="500" w:lineRule="exact"/>
        <w:ind w:firstLine="422" w:firstLineChars="200"/>
        <w:jc w:val="left"/>
        <w:rPr>
          <w:rFonts w:ascii="宋体" w:hAnsi="宋体" w:cs="华文仿宋"/>
          <w:b/>
          <w:kern w:val="0"/>
          <w:szCs w:val="21"/>
        </w:rPr>
      </w:pPr>
      <w:r>
        <w:rPr>
          <w:rFonts w:hint="eastAsia" w:ascii="宋体" w:hAnsi="宋体" w:cs="华文仿宋"/>
          <w:b/>
          <w:kern w:val="0"/>
          <w:szCs w:val="21"/>
        </w:rPr>
        <w:t>六、付款方式</w:t>
      </w:r>
    </w:p>
    <w:p w14:paraId="33566812">
      <w:pPr>
        <w:adjustRightInd w:val="0"/>
        <w:snapToGrid w:val="0"/>
        <w:spacing w:line="500" w:lineRule="exact"/>
        <w:ind w:firstLine="420" w:firstLineChars="200"/>
        <w:rPr>
          <w:rFonts w:hint="eastAsia"/>
        </w:rPr>
      </w:pPr>
      <w:permStart w:id="15" w:edGrp="everyone"/>
      <w:r>
        <w:rPr>
          <w:rFonts w:hint="eastAsia"/>
          <w:lang w:val="en-US" w:eastAsia="zh-CN"/>
        </w:rPr>
        <w:t>1、</w:t>
      </w:r>
      <w:r>
        <w:rPr>
          <w:rFonts w:hint="eastAsia"/>
        </w:rPr>
        <w:t>合同签订后5日内支付合同总金额的20%。</w:t>
      </w:r>
    </w:p>
    <w:p w14:paraId="709BDB58">
      <w:pPr>
        <w:adjustRightInd w:val="0"/>
        <w:snapToGrid w:val="0"/>
        <w:spacing w:line="500" w:lineRule="exact"/>
        <w:ind w:firstLine="420" w:firstLineChars="200"/>
        <w:rPr>
          <w:rFonts w:hint="eastAsia"/>
        </w:rPr>
      </w:pPr>
      <w:r>
        <w:rPr>
          <w:rFonts w:hint="eastAsia"/>
          <w:lang w:val="en-US" w:eastAsia="zh-CN"/>
        </w:rPr>
        <w:t>2、</w:t>
      </w:r>
      <w:r>
        <w:rPr>
          <w:rFonts w:hint="eastAsia"/>
        </w:rPr>
        <w:t>货物送至现场，验收合格，付至甲方核准金额的97%。</w:t>
      </w:r>
    </w:p>
    <w:p w14:paraId="76075CD3">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lang w:val="en-US" w:eastAsia="zh-CN"/>
        </w:rPr>
        <w:t>3、</w:t>
      </w:r>
      <w:bookmarkStart w:id="0" w:name="_GoBack"/>
      <w:bookmarkEnd w:id="0"/>
      <w:r>
        <w:rPr>
          <w:rFonts w:hint="eastAsia"/>
        </w:rPr>
        <w:t>3%的保修金待保修期满后次月月底付清（无息）</w:t>
      </w:r>
      <w:r>
        <w:rPr>
          <w:rFonts w:hint="eastAsia" w:asciiTheme="minorEastAsia" w:hAnsiTheme="minorEastAsia" w:eastAsiaTheme="minorEastAsia"/>
          <w:color w:val="000000" w:themeColor="text1"/>
          <w:szCs w:val="21"/>
          <w14:textFill>
            <w14:solidFill>
              <w14:schemeClr w14:val="tx1"/>
            </w14:solidFill>
          </w14:textFill>
        </w:rPr>
        <w:t>。</w:t>
      </w:r>
    </w:p>
    <w:permEnd w:id="15"/>
    <w:p w14:paraId="778BC3B0">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备注：以上各阶段付款，乙方同意甲方按中国人民银行规定的各类结算方式进行结算，采用银行承兑汇票形式支付的，甲方无需承担贴息费用。每笔进度款付款前，乙方应按经甲方及监理单位(如有)审价确认的预计工程量金额向甲方提供合规的增值税专用发票。审定后第一次付款需按审定价(如需审定)提供所有尾款增值税专用发票，若乙方延迟或拒绝提供发票，甲方有权延迟或拒绝付款，甲方不承担逾期付款违约责任。如税率遇政策性调整，则税前价不调整，税后价按相关政策文件调整。</w:t>
      </w:r>
    </w:p>
    <w:p w14:paraId="6E43E08A">
      <w:pPr>
        <w:spacing w:line="500" w:lineRule="exact"/>
        <w:ind w:firstLine="422" w:firstLineChars="200"/>
        <w:outlineLvl w:val="0"/>
        <w:rPr>
          <w:rFonts w:ascii="宋体" w:hAnsi="宋体" w:cs="华文仿宋"/>
          <w:b/>
          <w:kern w:val="0"/>
          <w:szCs w:val="21"/>
        </w:rPr>
      </w:pPr>
      <w:r>
        <w:rPr>
          <w:rFonts w:ascii="宋体" w:hAnsi="宋体" w:cs="华文仿宋"/>
          <w:b/>
          <w:kern w:val="0"/>
          <w:szCs w:val="21"/>
        </w:rPr>
        <w:t>七</w:t>
      </w:r>
      <w:r>
        <w:rPr>
          <w:rFonts w:hint="eastAsia" w:ascii="宋体" w:hAnsi="宋体" w:cs="华文仿宋"/>
          <w:b/>
          <w:kern w:val="0"/>
          <w:szCs w:val="21"/>
        </w:rPr>
        <w:t>、</w:t>
      </w:r>
      <w:r>
        <w:rPr>
          <w:rFonts w:ascii="宋体" w:hAnsi="宋体" w:cs="华文仿宋"/>
          <w:b/>
          <w:kern w:val="0"/>
          <w:szCs w:val="21"/>
        </w:rPr>
        <w:t>履约担保</w:t>
      </w:r>
      <w:r>
        <w:rPr>
          <w:rFonts w:hint="eastAsia" w:ascii="宋体" w:hAnsi="宋体" w:cs="华文仿宋"/>
          <w:b/>
          <w:kern w:val="0"/>
          <w:szCs w:val="21"/>
        </w:rPr>
        <w:t>：</w:t>
      </w:r>
      <w:r>
        <w:rPr>
          <w:rFonts w:hint="eastAsia" w:asciiTheme="minorEastAsia" w:hAnsiTheme="minorEastAsia" w:eastAsiaTheme="minorEastAsia"/>
          <w:color w:val="000000" w:themeColor="text1"/>
          <w:szCs w:val="21"/>
          <w14:textFill>
            <w14:solidFill>
              <w14:schemeClr w14:val="tx1"/>
            </w14:solidFill>
          </w14:textFill>
        </w:rPr>
        <w:t>履约保证金：</w:t>
      </w:r>
      <w:permStart w:id="16" w:edGrp="everyone"/>
      <w:r>
        <w:rPr>
          <w:rFonts w:hint="eastAsia" w:asciiTheme="minorEastAsia" w:hAnsiTheme="minorEastAsia" w:eastAsiaTheme="minorEastAsia"/>
          <w:color w:val="000000" w:themeColor="text1"/>
          <w:szCs w:val="21"/>
          <w:lang w:val="en-US" w:eastAsia="zh-CN"/>
          <w14:textFill>
            <w14:solidFill>
              <w14:schemeClr w14:val="tx1"/>
            </w14:solidFill>
          </w14:textFill>
        </w:rPr>
        <w:t xml:space="preserve">合同金额的5%，  </w:t>
      </w:r>
      <w:r>
        <w:rPr>
          <w:rFonts w:hint="eastAsia" w:asciiTheme="minorEastAsia" w:hAnsiTheme="minorEastAsia" w:eastAsiaTheme="minorEastAsia"/>
          <w:color w:val="000000" w:themeColor="text1"/>
          <w:szCs w:val="21"/>
          <w14:textFill>
            <w14:solidFill>
              <w14:schemeClr w14:val="tx1"/>
            </w14:solidFill>
          </w14:textFill>
        </w:rPr>
        <w:t xml:space="preserve">   </w:t>
      </w:r>
      <w:permEnd w:id="16"/>
      <w:r>
        <w:rPr>
          <w:rFonts w:hint="eastAsia" w:asciiTheme="minorEastAsia" w:hAnsiTheme="minorEastAsia" w:eastAsiaTheme="minorEastAsia"/>
          <w:color w:val="000000" w:themeColor="text1"/>
          <w:szCs w:val="21"/>
          <w14:textFill>
            <w14:solidFill>
              <w14:schemeClr w14:val="tx1"/>
            </w14:solidFill>
          </w14:textFill>
        </w:rPr>
        <w:t>元</w:t>
      </w:r>
      <w:permStart w:id="17" w:edGrp="everyone"/>
      <w:r>
        <w:rPr>
          <w:rFonts w:hint="eastAsia" w:asciiTheme="minorEastAsia" w:hAnsiTheme="minorEastAsia" w:eastAsiaTheme="minorEastAsia"/>
          <w:color w:val="000000" w:themeColor="text1"/>
          <w:szCs w:val="21"/>
          <w:lang w:eastAsia="zh-CN"/>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履约担保形式为：（1）投标保证金转为履约保证金（若投标保证金金额未能达到履约保证金金额，则需在收到中标通知书后2个工作日内增补缴纳）（2）</w:t>
      </w:r>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采用银行保函方式提交履约担保，担保金额需为全部金额。（3）中</w:t>
      </w:r>
      <w:r>
        <w:rPr>
          <w:rFonts w:asciiTheme="minorEastAsia" w:hAnsiTheme="minorEastAsia" w:eastAsiaTheme="minorEastAsia"/>
          <w:szCs w:val="21"/>
        </w:rPr>
        <w:t>标单位</w:t>
      </w:r>
      <w:r>
        <w:rPr>
          <w:rFonts w:hint="eastAsia" w:asciiTheme="minorEastAsia" w:hAnsiTheme="minorEastAsia" w:eastAsiaTheme="minorEastAsia"/>
          <w:szCs w:val="21"/>
        </w:rPr>
        <w:t>采用经相关部门认定的有资质的专业担保公司出具的保函提交履约担保，担保金额需为全部金额</w:t>
      </w:r>
      <w:permEnd w:id="17"/>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szCs w:val="21"/>
        </w:rPr>
        <w:t>履约保证金的退还（如有）：履约保证金在供货完毕经验收合格后凭收据及甲方签署意见后无息退还。</w:t>
      </w:r>
    </w:p>
    <w:p w14:paraId="2BAF837C">
      <w:pPr>
        <w:spacing w:line="500" w:lineRule="exact"/>
        <w:ind w:firstLine="422" w:firstLineChars="200"/>
        <w:jc w:val="left"/>
        <w:rPr>
          <w:rFonts w:ascii="宋体" w:hAnsi="宋体" w:cs="华文仿宋"/>
          <w:b/>
          <w:kern w:val="0"/>
          <w:szCs w:val="21"/>
        </w:rPr>
      </w:pPr>
      <w:r>
        <w:rPr>
          <w:rFonts w:hint="eastAsia" w:ascii="宋体" w:hAnsi="宋体" w:cs="华文仿宋"/>
          <w:b/>
          <w:kern w:val="0"/>
          <w:szCs w:val="21"/>
        </w:rPr>
        <w:t>八、质量保证</w:t>
      </w:r>
    </w:p>
    <w:p w14:paraId="03D00D0E">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1、乙方所提供的货物的技术规格应与招标文件规定的技术规格及所有技术要求相一致；若技术性能无特殊说明，则按国家有关部门最新颁布的标准及规范为准。</w:t>
      </w:r>
    </w:p>
    <w:p w14:paraId="369CBB61">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乙方应保证货物是全新、未使用过的原装合格正品，并完全符合合同规定的质量、规格和性能的要求。乙方应保证其提供的货物在正确安装、正常使用和保养条件下，在其使用寿命内具有良好的性能。货物验收后，在质量保证期内，乙方应对由于设计、工艺或材料的缺陷所发生的任何不足或故障负责，所需费用由乙方承担。</w:t>
      </w:r>
      <w:permStart w:id="18" w:edGrp="everyone"/>
    </w:p>
    <w:permEnd w:id="18"/>
    <w:p w14:paraId="50A29034">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九、材料与设备</w:t>
      </w:r>
    </w:p>
    <w:p w14:paraId="337441C4">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工程所需由乙方采购的材料及设备质量必须符合国家标准要求,按合同规定需方指定品牌的材料及设备必须按指定品牌要求采购。乙方在进行材料设备采购前，应上报拟采购材料设备的清单和相关的技术资料、采购计划并做好材料设备的样品封样工作。所有进场材料设备必须按规定要求进行自检，自检合格后再报需方或监理单位验收(所有甲指乙供材料设备必须按甲方要求进行首次进场验收)，验收合格方可进场使用。所有产品明显部位应注明产品标志，制造厂名或商标，产品名称，产品型号规格，工程所涉的金属构件、配件、连接件，均需能抗腐蚀，以免产品受摩擦损伤，对没有进行保护或已受损的产品，甲方将不予接收。</w:t>
      </w:r>
    </w:p>
    <w:p w14:paraId="3B389BD7">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permStart w:id="19" w:edGrp="everyone"/>
      <w:r>
        <w:rPr>
          <w:rFonts w:hint="eastAsia" w:asciiTheme="minorEastAsia" w:hAnsiTheme="minorEastAsia" w:eastAsiaTheme="minorEastAsia"/>
          <w:color w:val="auto"/>
          <w:szCs w:val="21"/>
        </w:rPr>
        <w:t>施工现场的所有材料与设备等必须按甲方创建文明工地的要求集中堆放,乙方应安排专人看管，费用自理。如发生遗失或被盗，损失由乙方承担。</w:t>
      </w:r>
    </w:p>
    <w:permEnd w:id="19"/>
    <w:p w14:paraId="04E8C99C">
      <w:pPr>
        <w:spacing w:line="500" w:lineRule="exact"/>
        <w:ind w:firstLine="420" w:firstLineChars="200"/>
        <w:jc w:val="left"/>
        <w:rPr>
          <w:rFonts w:asciiTheme="majorEastAsia" w:hAnsiTheme="majorEastAsia" w:eastAsiaTheme="majorEastAsia"/>
          <w:szCs w:val="21"/>
        </w:rPr>
      </w:pPr>
      <w:r>
        <w:rPr>
          <w:rFonts w:hint="eastAsia" w:asciiTheme="minorEastAsia" w:hAnsiTheme="minorEastAsia" w:eastAsiaTheme="minorEastAsia"/>
          <w:color w:val="000000" w:themeColor="text1"/>
          <w:szCs w:val="21"/>
          <w14:textFill>
            <w14:solidFill>
              <w14:schemeClr w14:val="tx1"/>
            </w14:solidFill>
          </w14:textFill>
        </w:rPr>
        <w:t>2、</w:t>
      </w:r>
      <w:r>
        <w:rPr>
          <w:rFonts w:hint="eastAsia" w:asciiTheme="majorEastAsia" w:hAnsiTheme="majorEastAsia" w:eastAsiaTheme="majorEastAsia"/>
          <w:szCs w:val="21"/>
        </w:rPr>
        <w:t>材料检查：</w:t>
      </w:r>
    </w:p>
    <w:p w14:paraId="370492A9">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.1</w:t>
      </w:r>
      <w:r>
        <w:rPr>
          <w:rFonts w:hint="eastAsia" w:asciiTheme="majorEastAsia" w:hAnsiTheme="majorEastAsia" w:eastAsiaTheme="majorEastAsia"/>
          <w:szCs w:val="21"/>
        </w:rPr>
        <w:t>出现使用合同约定品牌以外的情形，乙方按</w:t>
      </w:r>
      <w:permStart w:id="20" w:edGrp="everyone"/>
      <w:r>
        <w:rPr>
          <w:rFonts w:hint="eastAsia" w:asciiTheme="majorEastAsia" w:hAnsiTheme="majorEastAsia" w:eastAsiaTheme="majorEastAsia"/>
          <w:szCs w:val="21"/>
        </w:rPr>
        <w:t>10</w:t>
      </w:r>
      <w:r>
        <w:rPr>
          <w:rFonts w:asciiTheme="majorEastAsia" w:hAnsiTheme="majorEastAsia" w:eastAsiaTheme="majorEastAsia"/>
          <w:szCs w:val="21"/>
        </w:rPr>
        <w:t>0</w:t>
      </w:r>
      <w:r>
        <w:rPr>
          <w:rFonts w:hint="eastAsia" w:asciiTheme="majorEastAsia" w:hAnsiTheme="majorEastAsia" w:eastAsiaTheme="majorEastAsia"/>
          <w:szCs w:val="21"/>
        </w:rPr>
        <w:t>000元</w:t>
      </w:r>
      <w:permEnd w:id="20"/>
      <w:r>
        <w:rPr>
          <w:rFonts w:hint="eastAsia" w:asciiTheme="majorEastAsia" w:hAnsiTheme="majorEastAsia" w:eastAsiaTheme="majorEastAsia"/>
          <w:szCs w:val="21"/>
        </w:rPr>
        <w:t>/次承担违约金。</w:t>
      </w:r>
    </w:p>
    <w:p w14:paraId="17D10C4F">
      <w:pPr>
        <w:spacing w:line="500" w:lineRule="exact"/>
        <w:ind w:firstLine="420" w:firstLineChars="200"/>
        <w:jc w:val="left"/>
        <w:rPr>
          <w:rFonts w:asciiTheme="majorEastAsia" w:hAnsiTheme="majorEastAsia" w:eastAsiaTheme="majorEastAsia"/>
          <w:szCs w:val="21"/>
        </w:rPr>
      </w:pPr>
      <w:r>
        <w:rPr>
          <w:rFonts w:asciiTheme="majorEastAsia" w:hAnsiTheme="majorEastAsia" w:eastAsiaTheme="majorEastAsia"/>
          <w:szCs w:val="21"/>
        </w:rPr>
        <w:t>2.2</w:t>
      </w:r>
      <w:r>
        <w:rPr>
          <w:rFonts w:hint="eastAsia" w:asciiTheme="majorEastAsia" w:hAnsiTheme="majorEastAsia" w:eastAsiaTheme="majorEastAsia"/>
          <w:szCs w:val="21"/>
        </w:rPr>
        <w:t>对于使用不合格材料的情形：</w:t>
      </w:r>
    </w:p>
    <w:p w14:paraId="75D46BEE">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（1）若发现乙方使用不合格材料，经评估存在风险的（含交付风险），做如下处理：</w:t>
      </w:r>
    </w:p>
    <w:p w14:paraId="32596FB0">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1）对于使用不合格材料已完成的工程，必须无条件返工。</w:t>
      </w:r>
    </w:p>
    <w:p w14:paraId="3A9CBD25">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2）对所涉及材料作退场处理，乙方按</w:t>
      </w:r>
      <w:permStart w:id="21" w:edGrp="everyone"/>
      <w:r>
        <w:rPr>
          <w:rFonts w:hint="eastAsia" w:asciiTheme="majorEastAsia" w:hAnsiTheme="majorEastAsia" w:eastAsiaTheme="majorEastAsia"/>
          <w:szCs w:val="21"/>
        </w:rPr>
        <w:t>50000元</w:t>
      </w:r>
      <w:permEnd w:id="21"/>
      <w:r>
        <w:rPr>
          <w:rFonts w:hint="eastAsia" w:asciiTheme="majorEastAsia" w:hAnsiTheme="majorEastAsia" w:eastAsiaTheme="majorEastAsia"/>
          <w:szCs w:val="21"/>
        </w:rPr>
        <w:t>承担违约金。若对工期、交付产生影响，由责任单位承担一切损失及相应后果。</w:t>
      </w:r>
    </w:p>
    <w:p w14:paraId="521B144C">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（2）若发现乙方使用不合格材料，经评估不存在风险（含交付风险）且材料品质及价格低于合同要求的，做如下处理：</w:t>
      </w:r>
    </w:p>
    <w:p w14:paraId="503C8B67">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1）对于使用不合格材料已完成的工程，必须进行核价，扣除合同差价。</w:t>
      </w:r>
    </w:p>
    <w:p w14:paraId="19BD692B">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2）对所涉及材料作退场处理，乙方按</w:t>
      </w:r>
      <w:permStart w:id="22" w:edGrp="everyone"/>
      <w:r>
        <w:rPr>
          <w:rFonts w:hint="eastAsia" w:asciiTheme="majorEastAsia" w:hAnsiTheme="majorEastAsia" w:eastAsiaTheme="majorEastAsia"/>
          <w:szCs w:val="21"/>
        </w:rPr>
        <w:t>20000元</w:t>
      </w:r>
      <w:permEnd w:id="22"/>
      <w:r>
        <w:rPr>
          <w:rFonts w:hint="eastAsia" w:asciiTheme="majorEastAsia" w:hAnsiTheme="majorEastAsia" w:eastAsiaTheme="majorEastAsia"/>
          <w:szCs w:val="21"/>
        </w:rPr>
        <w:t>/次承担违约金。</w:t>
      </w:r>
    </w:p>
    <w:p w14:paraId="05B3DEEF">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（3）若发现乙方使用不合格材料，经评估不存在风险（含交付风险）但材料品质及价格高于合同要求的，对所涉及材料可不作退场处理，但需出具相应手续及承诺函，乙方按每次</w:t>
      </w:r>
      <w:permStart w:id="23" w:edGrp="everyone"/>
      <w:r>
        <w:rPr>
          <w:rFonts w:hint="eastAsia" w:asciiTheme="majorEastAsia" w:hAnsiTheme="majorEastAsia" w:eastAsiaTheme="majorEastAsia"/>
          <w:szCs w:val="21"/>
        </w:rPr>
        <w:t>10000元</w:t>
      </w:r>
      <w:permEnd w:id="23"/>
      <w:r>
        <w:rPr>
          <w:rFonts w:hint="eastAsia" w:asciiTheme="majorEastAsia" w:hAnsiTheme="majorEastAsia" w:eastAsiaTheme="majorEastAsia"/>
          <w:szCs w:val="21"/>
        </w:rPr>
        <w:t>/次承担违约金。</w:t>
      </w:r>
    </w:p>
    <w:p w14:paraId="6BCC9B8B">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（4）未按要求进行材料举牌验收的，或举牌验收作假的，乙方按每次</w:t>
      </w:r>
      <w:permStart w:id="24" w:edGrp="everyone"/>
      <w:r>
        <w:rPr>
          <w:rFonts w:hint="eastAsia" w:asciiTheme="majorEastAsia" w:hAnsiTheme="majorEastAsia" w:eastAsiaTheme="majorEastAsia"/>
          <w:szCs w:val="21"/>
        </w:rPr>
        <w:t>10000元</w:t>
      </w:r>
      <w:permEnd w:id="24"/>
      <w:r>
        <w:rPr>
          <w:rFonts w:hint="eastAsia" w:asciiTheme="majorEastAsia" w:hAnsiTheme="majorEastAsia" w:eastAsiaTheme="majorEastAsia"/>
          <w:szCs w:val="21"/>
        </w:rPr>
        <w:t>/项承担违约金。乙方负责将原先不合格材料拆除、退场，造成相关影响由乙方承担相应责任。</w:t>
      </w:r>
    </w:p>
    <w:p w14:paraId="535C6DC6">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3、材料进场未报验的，乙方按每次</w:t>
      </w:r>
      <w:permStart w:id="25" w:edGrp="everyone"/>
      <w:r>
        <w:rPr>
          <w:rFonts w:hint="eastAsia" w:asciiTheme="majorEastAsia" w:hAnsiTheme="majorEastAsia" w:eastAsiaTheme="majorEastAsia"/>
          <w:szCs w:val="21"/>
        </w:rPr>
        <w:t>20000元</w:t>
      </w:r>
      <w:permEnd w:id="25"/>
      <w:r>
        <w:rPr>
          <w:rFonts w:hint="eastAsia" w:asciiTheme="majorEastAsia" w:hAnsiTheme="majorEastAsia" w:eastAsiaTheme="majorEastAsia"/>
          <w:szCs w:val="21"/>
        </w:rPr>
        <w:t>承担违约金，甲方有权要求由乙方退场、修复、拆除或重新采购，由此发生任何问题及造成甲方任何损失由供方承担，由此延误的工期不予顺延。甲方亦有权单方部分或全部解除合同。</w:t>
      </w:r>
    </w:p>
    <w:p w14:paraId="2F50C8F5">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4、现场实行材料周检及月检制度，定期对现场材料进行检查，并做好登记，责令对不合规材料进行整改，乙方上报整改措施并落实整改到位，项目部及监理单位定期对整改内容进行检查。</w:t>
      </w:r>
    </w:p>
    <w:p w14:paraId="0431193F">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5、乙方必须对采购材料的质量和订购材料数量的准确性负责,乙方因工作不到位而导致的材料数量偏差、材料浪费、延误工期等，由乙方自己承担。</w:t>
      </w:r>
      <w:permStart w:id="26" w:edGrp="everyone"/>
    </w:p>
    <w:permEnd w:id="26"/>
    <w:p w14:paraId="6B570E7A">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十、包装要求</w:t>
      </w:r>
    </w:p>
    <w:p w14:paraId="01FE6504">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除合同另有规定外，乙方提供的全部货物均应按国家或专业标准保护措施进行包装。该包装应适应于远距离运输、防潮、防震、防锈和防野蛮装卸，以确保货物安全无损运抵并卸货至甲方指定地点。由于包装不善所引起的货物损失均由乙方承担。</w:t>
      </w:r>
    </w:p>
    <w:p w14:paraId="7803626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2、每一包装单元内应附详细的装箱单和质量合格凭证。</w:t>
      </w:r>
    </w:p>
    <w:p w14:paraId="6F90395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、乙方保证货物不存在危及人身及财产安全的产品缺陷，否则应承担全部法律责任。</w:t>
      </w:r>
      <w:permStart w:id="27" w:edGrp="everyone"/>
    </w:p>
    <w:permEnd w:id="27"/>
    <w:p w14:paraId="5CF065D3">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十一、交货和验收</w:t>
      </w:r>
    </w:p>
    <w:p w14:paraId="06D0AB13">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ajorEastAsia" w:hAnsiTheme="majorEastAsia" w:eastAsiaTheme="majorEastAsia"/>
          <w:szCs w:val="21"/>
        </w:rPr>
        <w:t>乙方应在合同规定的交货期前3天将发货信息书面通知甲方，所送产品必须与产品型号、认可证书、检测报告以及甲方要求相符。</w:t>
      </w:r>
    </w:p>
    <w:p w14:paraId="1194BDC3">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r>
        <w:rPr>
          <w:rFonts w:hint="eastAsia" w:asciiTheme="majorEastAsia" w:hAnsiTheme="majorEastAsia" w:eastAsiaTheme="majorEastAsia"/>
          <w:szCs w:val="21"/>
        </w:rPr>
        <w:t>甲方有权变更交货地址，乙方应予以配合。</w:t>
      </w:r>
    </w:p>
    <w:p w14:paraId="223B7E92">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3、乙方交付的货物应当完全符合本合同或者招投标文件所规定的货物、数量和规格要求。乙方提供的货物不符合招投标文件和合同规定的，甲方有权拒收货物，由此引起的风险，由乙方承担。</w:t>
      </w:r>
    </w:p>
    <w:p w14:paraId="6560E965">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4、货物的到货验收包括：生产厂家名称、品牌、型号、规格、数量、外观质量、配置及货物包装是否完好。</w:t>
      </w:r>
    </w:p>
    <w:p w14:paraId="08F6DF7F">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乙方应将所提供货物的装箱清单、用户手册、原厂保修卡、随机资料及配件、随机工具等交付给甲方；乙方不能完整交付货物及本款规定的单证和工具的，视为未按合同约定交货，乙方负责补齐，因此导致逾期交付的，由乙方承担相关的违约责任。</w:t>
      </w:r>
    </w:p>
    <w:p w14:paraId="174DCB7D">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6、货物和系统调试验收的标准：按行业通行标准、厂方出厂标准和乙方投标文件的承诺。在验收之前，乙方需提前提交相应的调试计划（包括调试程序、环境、内容和检验标准、调试时间安排等）供甲方确认，乙方还应对所有检验验收调试的结果、步骤、原始数据等作妥善记录。如甲方要求，乙方应将记录提供给甲方。调试检验出现全部或部分未达到本合同所约定的技术指标，甲方有权选择下列任一处理方式，因乙方原因所产生的所有费用均由乙方承担：</w:t>
      </w:r>
    </w:p>
    <w:p w14:paraId="3AA5C30F">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（1）重新调试直至合格为止；</w:t>
      </w:r>
    </w:p>
    <w:p w14:paraId="3B1FE5B2">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（2）要求乙方对货物进行免费更换，然后重新调试直至合格为止。</w:t>
      </w:r>
      <w:permStart w:id="28" w:edGrp="everyone"/>
    </w:p>
    <w:permEnd w:id="28"/>
    <w:p w14:paraId="6D5406FA">
      <w:pPr>
        <w:spacing w:line="500" w:lineRule="exact"/>
        <w:ind w:firstLine="422"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十二、质保期：</w:t>
      </w:r>
      <w:permStart w:id="29" w:edGrp="everyone"/>
      <w:r>
        <w:rPr>
          <w:rFonts w:hint="eastAsia" w:asciiTheme="minorEastAsia" w:hAnsiTheme="minorEastAsia" w:eastAsiaTheme="minorEastAsia"/>
          <w:color w:val="000000" w:themeColor="text1"/>
          <w:szCs w:val="21"/>
          <w14:textFill>
            <w14:solidFill>
              <w14:schemeClr w14:val="tx1"/>
            </w14:solidFill>
          </w14:textFill>
        </w:rPr>
        <w:t>自验收合格之日起2年。</w:t>
      </w:r>
    </w:p>
    <w:permEnd w:id="29"/>
    <w:p w14:paraId="1498E9EB">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十</w:t>
      </w:r>
      <w:r>
        <w:rPr>
          <w:rFonts w:hint="eastAsia" w:asciiTheme="minorEastAsia" w:hAnsiTheme="minorEastAsia" w:eastAsiaTheme="minorEastAsia"/>
          <w:b/>
          <w:color w:val="000000" w:themeColor="text1"/>
          <w:szCs w:val="21"/>
          <w14:textFill>
            <w14:solidFill>
              <w14:schemeClr w14:val="tx1"/>
            </w14:solidFill>
          </w14:textFill>
        </w:rPr>
        <w:t>三、</w:t>
      </w:r>
      <w:r>
        <w:rPr>
          <w:rFonts w:asciiTheme="minorEastAsia" w:hAnsiTheme="minorEastAsia" w:eastAsiaTheme="minorEastAsia"/>
          <w:b/>
          <w:color w:val="000000" w:themeColor="text1"/>
          <w:szCs w:val="21"/>
          <w14:textFill>
            <w14:solidFill>
              <w14:schemeClr w14:val="tx1"/>
            </w14:solidFill>
          </w14:textFill>
        </w:rPr>
        <w:t>双方联系人</w:t>
      </w:r>
    </w:p>
    <w:p w14:paraId="5780D3B4">
      <w:pPr>
        <w:spacing w:line="500" w:lineRule="exact"/>
        <w:ind w:firstLine="420" w:firstLineChars="200"/>
        <w:jc w:val="left"/>
        <w:rPr>
          <w:rFonts w:asciiTheme="minorEastAsia" w:hAnsiTheme="minorEastAsia" w:eastAsiaTheme="minorEastAsia"/>
          <w:color w:val="000000" w:themeColor="text1"/>
          <w:szCs w:val="21"/>
          <w:u w:val="single"/>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甲方</w:t>
      </w:r>
      <w:r>
        <w:rPr>
          <w:rFonts w:hint="eastAsia" w:asciiTheme="minorEastAsia" w:hAnsiTheme="minorEastAsia" w:eastAsiaTheme="minorEastAsia"/>
          <w:color w:val="000000" w:themeColor="text1"/>
          <w:szCs w:val="21"/>
          <w14:textFill>
            <w14:solidFill>
              <w14:schemeClr w14:val="tx1"/>
            </w14:solidFill>
          </w14:textFill>
        </w:rPr>
        <w:t>：</w:t>
      </w:r>
      <w:permStart w:id="30" w:edGrp="everyone"/>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permEnd w:id="30"/>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联系电话</w:t>
      </w:r>
      <w:r>
        <w:rPr>
          <w:rFonts w:hint="eastAsia" w:asciiTheme="minorEastAsia" w:hAnsiTheme="minorEastAsia" w:eastAsiaTheme="minorEastAsia"/>
          <w:color w:val="000000" w:themeColor="text1"/>
          <w:szCs w:val="21"/>
          <w14:textFill>
            <w14:solidFill>
              <w14:schemeClr w14:val="tx1"/>
            </w14:solidFill>
          </w14:textFill>
        </w:rPr>
        <w:t>：</w:t>
      </w:r>
      <w:permStart w:id="31" w:edGrp="everyone"/>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permEnd w:id="31"/>
      <w:r>
        <w:rPr>
          <w:rFonts w:hint="eastAsia" w:asciiTheme="minorEastAsia" w:hAnsiTheme="minorEastAsia" w:eastAsiaTheme="minorEastAsia"/>
          <w:color w:val="000000" w:themeColor="text1"/>
          <w:szCs w:val="21"/>
          <w14:textFill>
            <w14:solidFill>
              <w14:schemeClr w14:val="tx1"/>
            </w14:solidFill>
          </w14:textFill>
        </w:rPr>
        <w:t>；</w:t>
      </w:r>
    </w:p>
    <w:p w14:paraId="3D1F289D">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乙方</w:t>
      </w:r>
      <w:r>
        <w:rPr>
          <w:rFonts w:hint="eastAsia" w:asciiTheme="minorEastAsia" w:hAnsiTheme="minorEastAsia" w:eastAsiaTheme="minorEastAsia"/>
          <w:color w:val="000000" w:themeColor="text1"/>
          <w:szCs w:val="21"/>
          <w14:textFill>
            <w14:solidFill>
              <w14:schemeClr w14:val="tx1"/>
            </w14:solidFill>
          </w14:textFill>
        </w:rPr>
        <w:t>：</w:t>
      </w:r>
      <w:permStart w:id="32" w:edGrp="everyone"/>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permEnd w:id="32"/>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联系电话</w:t>
      </w:r>
      <w:r>
        <w:rPr>
          <w:rFonts w:hint="eastAsia" w:asciiTheme="minorEastAsia" w:hAnsiTheme="minorEastAsia" w:eastAsiaTheme="minorEastAsia"/>
          <w:color w:val="000000" w:themeColor="text1"/>
          <w:szCs w:val="21"/>
          <w14:textFill>
            <w14:solidFill>
              <w14:schemeClr w14:val="tx1"/>
            </w14:solidFill>
          </w14:textFill>
        </w:rPr>
        <w:t>：</w:t>
      </w:r>
      <w:permStart w:id="33" w:edGrp="everyone"/>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permEnd w:id="33"/>
      <w:r>
        <w:rPr>
          <w:rFonts w:hint="eastAsia" w:asciiTheme="minorEastAsia" w:hAnsiTheme="minorEastAsia" w:eastAsiaTheme="minorEastAsia"/>
          <w:color w:val="000000" w:themeColor="text1"/>
          <w:szCs w:val="21"/>
          <w14:textFill>
            <w14:solidFill>
              <w14:schemeClr w14:val="tx1"/>
            </w14:solidFill>
          </w14:textFill>
        </w:rPr>
        <w:t>。</w:t>
      </w:r>
    </w:p>
    <w:p w14:paraId="38481573">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十</w:t>
      </w:r>
      <w:r>
        <w:rPr>
          <w:rFonts w:hint="eastAsia" w:asciiTheme="minorEastAsia" w:hAnsiTheme="minorEastAsia" w:eastAsiaTheme="minorEastAsia"/>
          <w:b/>
          <w:color w:val="000000" w:themeColor="text1"/>
          <w:szCs w:val="21"/>
          <w14:textFill>
            <w14:solidFill>
              <w14:schemeClr w14:val="tx1"/>
            </w14:solidFill>
          </w14:textFill>
        </w:rPr>
        <w:t>四、</w:t>
      </w:r>
      <w:r>
        <w:rPr>
          <w:rFonts w:asciiTheme="minorEastAsia" w:hAnsiTheme="minorEastAsia" w:eastAsiaTheme="minorEastAsia"/>
          <w:b/>
          <w:color w:val="000000" w:themeColor="text1"/>
          <w:szCs w:val="21"/>
          <w14:textFill>
            <w14:solidFill>
              <w14:schemeClr w14:val="tx1"/>
            </w14:solidFill>
          </w14:textFill>
        </w:rPr>
        <w:t>违约责任</w:t>
      </w:r>
    </w:p>
    <w:p w14:paraId="2DE46ECC">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1、如乙方不能交付货物</w:t>
      </w:r>
      <w:permStart w:id="34" w:edGrp="everyone"/>
      <w:r>
        <w:rPr>
          <w:rFonts w:hint="eastAsia" w:asciiTheme="minorEastAsia" w:hAnsiTheme="minorEastAsia" w:eastAsiaTheme="minorEastAsia"/>
          <w:color w:val="000000" w:themeColor="text1"/>
          <w:szCs w:val="21"/>
          <w14:textFill>
            <w14:solidFill>
              <w14:schemeClr w14:val="tx1"/>
            </w14:solidFill>
          </w14:textFill>
        </w:rPr>
        <w:t>、完成安装调试的</w:t>
      </w:r>
      <w:permEnd w:id="34"/>
      <w:r>
        <w:rPr>
          <w:rFonts w:hint="eastAsia" w:asciiTheme="minorEastAsia" w:hAnsiTheme="minorEastAsia" w:eastAsiaTheme="minorEastAsia"/>
          <w:color w:val="000000" w:themeColor="text1"/>
          <w:szCs w:val="21"/>
          <w14:textFill>
            <w14:solidFill>
              <w14:schemeClr w14:val="tx1"/>
            </w14:solidFill>
          </w14:textFill>
        </w:rPr>
        <w:t>，甲方有权扣留全部履约保证金；同时乙方应向甲方支付</w:t>
      </w:r>
      <w:permStart w:id="35" w:edGrp="everyone"/>
      <w:r>
        <w:rPr>
          <w:rFonts w:hint="eastAsia" w:asciiTheme="minorEastAsia" w:hAnsiTheme="minorEastAsia" w:eastAsiaTheme="minorEastAsia"/>
          <w:color w:val="000000" w:themeColor="text1"/>
          <w:szCs w:val="21"/>
          <w14:textFill>
            <w14:solidFill>
              <w14:schemeClr w14:val="tx1"/>
            </w14:solidFill>
          </w14:textFill>
        </w:rPr>
        <w:t>合同总价5%</w:t>
      </w:r>
      <w:permEnd w:id="35"/>
      <w:r>
        <w:rPr>
          <w:rFonts w:hint="eastAsia" w:asciiTheme="minorEastAsia" w:hAnsiTheme="minorEastAsia" w:eastAsiaTheme="minorEastAsia"/>
          <w:color w:val="000000" w:themeColor="text1"/>
          <w:szCs w:val="21"/>
          <w14:textFill>
            <w14:solidFill>
              <w14:schemeClr w14:val="tx1"/>
            </w14:solidFill>
          </w14:textFill>
        </w:rPr>
        <w:t>的违约金。</w:t>
      </w:r>
    </w:p>
    <w:p w14:paraId="29C201A9">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2、乙方逾期交付的，每逾期1天，乙方向甲方偿付</w:t>
      </w:r>
      <w:permStart w:id="36" w:edGrp="everyone"/>
      <w:r>
        <w:rPr>
          <w:rFonts w:hint="eastAsia" w:asciiTheme="minorEastAsia" w:hAnsiTheme="minorEastAsia" w:eastAsiaTheme="minorEastAsia"/>
          <w:color w:val="000000" w:themeColor="text1"/>
          <w:szCs w:val="21"/>
          <w14:textFill>
            <w14:solidFill>
              <w14:schemeClr w14:val="tx1"/>
            </w14:solidFill>
          </w14:textFill>
        </w:rPr>
        <w:t>合同总额的5‰</w:t>
      </w:r>
      <w:permEnd w:id="36"/>
      <w:r>
        <w:rPr>
          <w:rFonts w:hint="eastAsia" w:asciiTheme="minorEastAsia" w:hAnsiTheme="minorEastAsia" w:eastAsiaTheme="minorEastAsia"/>
          <w:color w:val="000000" w:themeColor="text1"/>
          <w:szCs w:val="21"/>
          <w14:textFill>
            <w14:solidFill>
              <w14:schemeClr w14:val="tx1"/>
            </w14:solidFill>
          </w14:textFill>
        </w:rPr>
        <w:t>的滞纳金。如乙方逾期交付达</w:t>
      </w:r>
      <w:permStart w:id="37" w:edGrp="everyone"/>
      <w:r>
        <w:rPr>
          <w:rFonts w:hint="eastAsia" w:asciiTheme="minorEastAsia" w:hAnsiTheme="minorEastAsia" w:eastAsiaTheme="minorEastAsia"/>
          <w:color w:val="000000" w:themeColor="text1"/>
          <w:szCs w:val="21"/>
          <w14:textFill>
            <w14:solidFill>
              <w14:schemeClr w14:val="tx1"/>
            </w14:solidFill>
          </w14:textFill>
        </w:rPr>
        <w:t>10</w:t>
      </w:r>
      <w:permEnd w:id="37"/>
      <w:r>
        <w:rPr>
          <w:rFonts w:hint="eastAsia" w:asciiTheme="minorEastAsia" w:hAnsiTheme="minorEastAsia" w:eastAsiaTheme="minorEastAsia"/>
          <w:color w:val="000000" w:themeColor="text1"/>
          <w:szCs w:val="21"/>
          <w14:textFill>
            <w14:solidFill>
              <w14:schemeClr w14:val="tx1"/>
            </w14:solidFill>
          </w14:textFill>
        </w:rPr>
        <w:t>天，甲方有权解除合同，解除合同的通知自到达乙方时生效。</w:t>
      </w:r>
    </w:p>
    <w:p w14:paraId="62676584">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3、乙方所交付的货物品种、型号、规格不符合合同规定的，甲方有权拒收。甲方拒收的，乙方应向需方支付</w:t>
      </w:r>
      <w:permStart w:id="38" w:edGrp="everyone"/>
      <w:r>
        <w:rPr>
          <w:rFonts w:hint="eastAsia" w:asciiTheme="minorEastAsia" w:hAnsiTheme="minorEastAsia" w:eastAsiaTheme="minorEastAsia"/>
          <w:color w:val="000000" w:themeColor="text1"/>
          <w:szCs w:val="21"/>
          <w14:textFill>
            <w14:solidFill>
              <w14:schemeClr w14:val="tx1"/>
            </w14:solidFill>
          </w14:textFill>
        </w:rPr>
        <w:t>货款总额5%</w:t>
      </w:r>
      <w:permEnd w:id="38"/>
      <w:r>
        <w:rPr>
          <w:rFonts w:hint="eastAsia" w:asciiTheme="minorEastAsia" w:hAnsiTheme="minorEastAsia" w:eastAsiaTheme="minorEastAsia"/>
          <w:color w:val="000000" w:themeColor="text1"/>
          <w:szCs w:val="21"/>
          <w14:textFill>
            <w14:solidFill>
              <w14:schemeClr w14:val="tx1"/>
            </w14:solidFill>
          </w14:textFill>
        </w:rPr>
        <w:t>的违约金。</w:t>
      </w:r>
    </w:p>
    <w:p w14:paraId="5D865036">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在乙方承诺的或国家规定的质量保证期内（取两者中最长的期限），如经乙方两次维修或更换，货物仍不能达到合同约定的质量标准、运行效果的，甲方有权退货，乙方应退回全部货款，并按违约责任第2款处理，同时，乙方还须赔偿甲方因此遭受的损失。</w:t>
      </w:r>
    </w:p>
    <w:p w14:paraId="64E902B1">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5、乙方未按本合同的规定和“服务承诺”提供伴随服务/售后服务的，应按</w:t>
      </w:r>
      <w:permStart w:id="39" w:edGrp="everyone"/>
      <w:r>
        <w:rPr>
          <w:rFonts w:hint="eastAsia" w:asciiTheme="minorEastAsia" w:hAnsiTheme="minorEastAsia" w:eastAsiaTheme="minorEastAsia"/>
          <w:color w:val="000000" w:themeColor="text1"/>
          <w:szCs w:val="21"/>
          <w14:textFill>
            <w14:solidFill>
              <w14:schemeClr w14:val="tx1"/>
            </w14:solidFill>
          </w14:textFill>
        </w:rPr>
        <w:t>合同总价款的5%</w:t>
      </w:r>
      <w:permEnd w:id="39"/>
      <w:r>
        <w:rPr>
          <w:rFonts w:hint="eastAsia" w:asciiTheme="minorEastAsia" w:hAnsiTheme="minorEastAsia" w:eastAsiaTheme="minorEastAsia"/>
          <w:color w:val="000000" w:themeColor="text1"/>
          <w:szCs w:val="21"/>
          <w14:textFill>
            <w14:solidFill>
              <w14:schemeClr w14:val="tx1"/>
            </w14:solidFill>
          </w14:textFill>
        </w:rPr>
        <w:t>向甲方承担违约责任。</w:t>
      </w:r>
    </w:p>
    <w:p w14:paraId="152040ED">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6、乙方在承担上述1-5款一项或多项违约责任后，仍应继续履行合同规定的义务（甲方解除合同的除外）。甲方未能及时追究乙方的任何一项违约责任并不表明甲方放弃追究乙方该项或其他违约责任。</w:t>
      </w:r>
    </w:p>
    <w:p w14:paraId="29B6AA4C">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7、乙方投标属虚假承诺，或经权威部门监测提供的货物不能满足招标文件要求，或是由于乙方的过错造成合同无法继续履行的，乙方履约保证金不予退还外，还应向甲方支付不少于</w:t>
      </w:r>
      <w:permStart w:id="40" w:edGrp="everyone"/>
      <w:r>
        <w:rPr>
          <w:rFonts w:hint="eastAsia" w:asciiTheme="minorEastAsia" w:hAnsiTheme="minorEastAsia" w:eastAsiaTheme="minorEastAsia"/>
          <w:color w:val="000000" w:themeColor="text1"/>
          <w:szCs w:val="21"/>
          <w14:textFill>
            <w14:solidFill>
              <w14:schemeClr w14:val="tx1"/>
            </w14:solidFill>
          </w14:textFill>
        </w:rPr>
        <w:t>合同总价30%</w:t>
      </w:r>
      <w:permEnd w:id="40"/>
      <w:r>
        <w:rPr>
          <w:rFonts w:hint="eastAsia" w:asciiTheme="minorEastAsia" w:hAnsiTheme="minorEastAsia" w:eastAsiaTheme="minorEastAsia"/>
          <w:color w:val="000000" w:themeColor="text1"/>
          <w:szCs w:val="21"/>
          <w14:textFill>
            <w14:solidFill>
              <w14:schemeClr w14:val="tx1"/>
            </w14:solidFill>
          </w14:textFill>
        </w:rPr>
        <w:t>的赔偿金。</w:t>
      </w:r>
    </w:p>
    <w:p w14:paraId="738FA0DC">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8、合同一经签订，单方违约按</w:t>
      </w:r>
      <w:permStart w:id="41" w:edGrp="everyone"/>
      <w:r>
        <w:rPr>
          <w:rFonts w:hint="eastAsia" w:asciiTheme="minorEastAsia" w:hAnsiTheme="minorEastAsia" w:eastAsiaTheme="minorEastAsia"/>
          <w:color w:val="000000" w:themeColor="text1"/>
          <w:szCs w:val="21"/>
          <w14:textFill>
            <w14:solidFill>
              <w14:schemeClr w14:val="tx1"/>
            </w14:solidFill>
          </w14:textFill>
        </w:rPr>
        <w:t>合同金额10%</w:t>
      </w:r>
      <w:permEnd w:id="41"/>
      <w:r>
        <w:rPr>
          <w:rFonts w:hint="eastAsia" w:asciiTheme="minorEastAsia" w:hAnsiTheme="minorEastAsia" w:eastAsiaTheme="minorEastAsia"/>
          <w:color w:val="000000" w:themeColor="text1"/>
          <w:szCs w:val="21"/>
          <w14:textFill>
            <w14:solidFill>
              <w14:schemeClr w14:val="tx1"/>
            </w14:solidFill>
          </w14:textFill>
        </w:rPr>
        <w:t>承担违约金。</w:t>
      </w:r>
      <w:permStart w:id="42" w:edGrp="everyone"/>
    </w:p>
    <w:permEnd w:id="42"/>
    <w:p w14:paraId="68652B15">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十五、解决争执方式：</w:t>
      </w:r>
    </w:p>
    <w:p w14:paraId="01B0B200">
      <w:pPr>
        <w:autoSpaceDE w:val="0"/>
        <w:autoSpaceDN w:val="0"/>
        <w:adjustRightInd w:val="0"/>
        <w:spacing w:line="500" w:lineRule="exact"/>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本合同履行中若发生争议，双方应协商解决。如协商不成，按下列第</w:t>
      </w:r>
      <w:r>
        <w:rPr>
          <w:rFonts w:hint="eastAsia" w:cs="宋体" w:asciiTheme="minorEastAsia" w:hAnsiTheme="minorEastAsia" w:eastAsiaTheme="minorEastAsia"/>
          <w:szCs w:val="21"/>
          <w:u w:val="single"/>
        </w:rPr>
        <w:t>（1）</w:t>
      </w:r>
      <w:r>
        <w:rPr>
          <w:rFonts w:hint="eastAsia" w:cs="宋体" w:asciiTheme="minorEastAsia" w:hAnsiTheme="minorEastAsia" w:eastAsiaTheme="minorEastAsia"/>
          <w:szCs w:val="21"/>
        </w:rPr>
        <w:t>种方式解决：</w:t>
      </w:r>
    </w:p>
    <w:p w14:paraId="38D5A865">
      <w:pPr>
        <w:autoSpaceDE w:val="0"/>
        <w:autoSpaceDN w:val="0"/>
        <w:adjustRightInd w:val="0"/>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w:t>
      </w:r>
      <w:r>
        <w:rPr>
          <w:rFonts w:cs="宋体" w:asciiTheme="minorEastAsia" w:hAnsiTheme="minorEastAsia" w:eastAsiaTheme="minorEastAsia"/>
          <w:szCs w:val="21"/>
        </w:rPr>
        <w:t>1</w:t>
      </w:r>
      <w:r>
        <w:rPr>
          <w:rFonts w:hint="eastAsia" w:cs="宋体" w:asciiTheme="minorEastAsia" w:hAnsiTheme="minorEastAsia" w:eastAsiaTheme="minorEastAsia"/>
          <w:szCs w:val="21"/>
        </w:rPr>
        <w:t>）向常州仲裁委员会申请仲裁；</w:t>
      </w:r>
    </w:p>
    <w:p w14:paraId="649FA879">
      <w:pPr>
        <w:autoSpaceDE w:val="0"/>
        <w:autoSpaceDN w:val="0"/>
        <w:adjustRightInd w:val="0"/>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（2）向管辖权的人民法院提起诉讼。</w:t>
      </w:r>
    </w:p>
    <w:p w14:paraId="60330AAB">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十六、其他：</w:t>
      </w:r>
    </w:p>
    <w:p w14:paraId="498AD22F">
      <w:pPr>
        <w:autoSpaceDE w:val="0"/>
        <w:autoSpaceDN w:val="0"/>
        <w:adjustRightInd w:val="0"/>
        <w:spacing w:line="5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1、本合同条款如尚有未尽事宜，双方可根据具体情况结合有关规定约定附则条款，作为本合同附件，与本合同具有同等法律效力。</w:t>
      </w:r>
    </w:p>
    <w:p w14:paraId="3297EAF5">
      <w:pPr>
        <w:spacing w:line="500" w:lineRule="exact"/>
        <w:ind w:firstLine="422" w:firstLineChars="200"/>
        <w:jc w:val="left"/>
        <w:rPr>
          <w:rFonts w:cs="宋体" w:asciiTheme="minorEastAsia" w:hAnsiTheme="minorEastAsia" w:eastAsiaTheme="minorEastAsia"/>
          <w:szCs w:val="21"/>
        </w:rPr>
      </w:pPr>
      <w:r>
        <w:rPr>
          <w:rFonts w:hint="eastAsia" w:asciiTheme="minorEastAsia" w:hAnsiTheme="minorEastAsia" w:eastAsiaTheme="minorEastAsia"/>
          <w:b/>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本合同</w:t>
      </w:r>
      <w:permStart w:id="43" w:edGrp="everyone"/>
      <w:r>
        <w:rPr>
          <w:rFonts w:hint="eastAsia" w:asciiTheme="minorEastAsia" w:hAnsiTheme="minorEastAsia" w:eastAsiaTheme="minorEastAsia"/>
          <w:color w:val="000000" w:themeColor="text1"/>
          <w:szCs w:val="21"/>
          <w14:textFill>
            <w14:solidFill>
              <w14:schemeClr w14:val="tx1"/>
            </w14:solidFill>
          </w14:textFill>
        </w:rPr>
        <w:t>一式</w:t>
      </w:r>
      <w:r>
        <w:rPr>
          <w:rFonts w:hint="eastAsia" w:asciiTheme="minorEastAsia" w:hAnsiTheme="minorEastAsia" w:eastAsiaTheme="minorEastAsia"/>
          <w:color w:val="000000" w:themeColor="text1"/>
          <w:szCs w:val="21"/>
          <w:lang w:val="en-US" w:eastAsia="zh-CN"/>
          <w14:textFill>
            <w14:solidFill>
              <w14:schemeClr w14:val="tx1"/>
            </w14:solidFill>
          </w14:textFill>
        </w:rPr>
        <w:t>肆</w:t>
      </w:r>
      <w:r>
        <w:rPr>
          <w:rFonts w:hint="eastAsia" w:asciiTheme="minorEastAsia" w:hAnsiTheme="minorEastAsia" w:eastAsiaTheme="minorEastAsia"/>
          <w:color w:val="000000" w:themeColor="text1"/>
          <w:szCs w:val="21"/>
          <w14:textFill>
            <w14:solidFill>
              <w14:schemeClr w14:val="tx1"/>
            </w14:solidFill>
          </w14:textFill>
        </w:rPr>
        <w:t>份，甲方</w:t>
      </w:r>
      <w:r>
        <w:rPr>
          <w:rFonts w:hint="eastAsia" w:asciiTheme="minorEastAsia" w:hAnsiTheme="minorEastAsia" w:eastAsiaTheme="minorEastAsia"/>
          <w:color w:val="000000" w:themeColor="text1"/>
          <w:szCs w:val="21"/>
          <w:lang w:val="en-US" w:eastAsia="zh-CN"/>
          <w14:textFill>
            <w14:solidFill>
              <w14:schemeClr w14:val="tx1"/>
            </w14:solidFill>
          </w14:textFill>
        </w:rPr>
        <w:t>贰</w:t>
      </w:r>
      <w:r>
        <w:rPr>
          <w:rFonts w:hint="eastAsia" w:asciiTheme="minorEastAsia" w:hAnsiTheme="minorEastAsia" w:eastAsiaTheme="minorEastAsia"/>
          <w:color w:val="000000" w:themeColor="text1"/>
          <w:szCs w:val="21"/>
          <w14:textFill>
            <w14:solidFill>
              <w14:schemeClr w14:val="tx1"/>
            </w14:solidFill>
          </w14:textFill>
        </w:rPr>
        <w:t>份，乙方贰份</w:t>
      </w:r>
      <w:permEnd w:id="43"/>
      <w:r>
        <w:rPr>
          <w:rFonts w:hint="eastAsia"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szCs w:val="21"/>
        </w:rPr>
        <w:t>合同经双方法定代表人签章、双方加盖公章后</w:t>
      </w:r>
      <w:permStart w:id="44" w:edGrp="everyone"/>
      <w:r>
        <w:rPr>
          <w:rFonts w:hint="eastAsia" w:cs="宋体" w:asciiTheme="minorEastAsia" w:hAnsiTheme="minorEastAsia" w:eastAsiaTheme="minorEastAsia"/>
          <w:szCs w:val="21"/>
        </w:rPr>
        <w:t>，且在履约保证金缴纳</w:t>
      </w:r>
      <w:r>
        <w:rPr>
          <w:rFonts w:hint="eastAsia" w:cs="宋体" w:asciiTheme="minorEastAsia" w:hAnsiTheme="minorEastAsia" w:eastAsiaTheme="minorEastAsia"/>
          <w:szCs w:val="21"/>
          <w:lang w:val="en-US" w:eastAsia="zh-CN"/>
        </w:rPr>
        <w:t>或履约担保</w:t>
      </w:r>
      <w:r>
        <w:rPr>
          <w:rFonts w:hint="eastAsia" w:cs="宋体" w:asciiTheme="minorEastAsia" w:hAnsiTheme="minorEastAsia" w:eastAsiaTheme="minorEastAsia"/>
          <w:szCs w:val="21"/>
        </w:rPr>
        <w:t>后</w:t>
      </w:r>
      <w:permEnd w:id="44"/>
      <w:r>
        <w:rPr>
          <w:rFonts w:hint="eastAsia" w:cs="宋体" w:asciiTheme="minorEastAsia" w:hAnsiTheme="minorEastAsia" w:eastAsiaTheme="minorEastAsia"/>
          <w:szCs w:val="21"/>
        </w:rPr>
        <w:t>生效。</w:t>
      </w:r>
    </w:p>
    <w:p w14:paraId="33D12437">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以下</w:t>
      </w:r>
      <w:r>
        <w:rPr>
          <w:rFonts w:asciiTheme="minorEastAsia" w:hAnsiTheme="minorEastAsia" w:eastAsiaTheme="minorEastAsia"/>
          <w:color w:val="000000" w:themeColor="text1"/>
          <w:szCs w:val="21"/>
          <w14:textFill>
            <w14:solidFill>
              <w14:schemeClr w14:val="tx1"/>
            </w14:solidFill>
          </w14:textFill>
        </w:rPr>
        <w:t>无正文。</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65"/>
        <w:gridCol w:w="4465"/>
      </w:tblGrid>
      <w:tr w14:paraId="6D300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65" w:type="dxa"/>
          </w:tcPr>
          <w:p w14:paraId="4571A58E">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permStart w:id="45" w:edGrp="everyone"/>
            <w:r>
              <w:rPr>
                <w:rFonts w:hint="eastAsia" w:cs="宋体" w:asciiTheme="minorEastAsia" w:hAnsiTheme="minorEastAsia" w:eastAsiaTheme="minorEastAsia"/>
                <w:color w:val="000000" w:themeColor="text1"/>
                <w:szCs w:val="21"/>
                <w14:textFill>
                  <w14:solidFill>
                    <w14:schemeClr w14:val="tx1"/>
                  </w14:solidFill>
                </w14:textFill>
              </w:rPr>
              <w:t>需  方（甲方）：</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hint="eastAsia" w:cs="宋体" w:asciiTheme="minorEastAsia" w:hAnsiTheme="minorEastAsia" w:eastAsiaTheme="minorEastAsia"/>
                <w:color w:val="000000" w:themeColor="text1"/>
                <w:szCs w:val="21"/>
                <w:u w:val="single"/>
                <w:lang w:val="en-US" w:eastAsia="zh-CN"/>
                <w14:textFill>
                  <w14:solidFill>
                    <w14:schemeClr w14:val="tx1"/>
                  </w14:solidFill>
                </w14:textFill>
              </w:rPr>
              <w:t>常州黑牡丹建设投资有限公司</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c>
          <w:tcPr>
            <w:tcW w:w="4465" w:type="dxa"/>
          </w:tcPr>
          <w:p w14:paraId="0FA967AD">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供 方（乙方）：</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r>
      <w:tr w14:paraId="70C93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65" w:type="dxa"/>
          </w:tcPr>
          <w:p w14:paraId="5CBF5531">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盖章</w:t>
            </w:r>
            <w:r>
              <w:rPr>
                <w:rFonts w:cs="宋体"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 xml:space="preserve"> </w:t>
            </w:r>
          </w:p>
        </w:tc>
        <w:tc>
          <w:tcPr>
            <w:tcW w:w="4465" w:type="dxa"/>
          </w:tcPr>
          <w:p w14:paraId="2522C3EF">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盖章</w:t>
            </w:r>
            <w:r>
              <w:rPr>
                <w:rFonts w:cs="宋体"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 xml:space="preserve"> </w:t>
            </w:r>
          </w:p>
        </w:tc>
      </w:tr>
      <w:tr w14:paraId="08E0E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65" w:type="dxa"/>
          </w:tcPr>
          <w:p w14:paraId="722B5A1A">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法定代表人或其委托代理人：</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 xml:space="preserve">      </w:t>
            </w:r>
            <w:r>
              <w:rPr>
                <w:rFonts w:cs="宋体" w:asciiTheme="minorEastAsia" w:hAnsiTheme="minorEastAsia" w:eastAsiaTheme="minorEastAsia"/>
                <w:color w:val="000000" w:themeColor="text1"/>
                <w:szCs w:val="21"/>
                <w14:textFill>
                  <w14:solidFill>
                    <w14:schemeClr w14:val="tx1"/>
                  </w14:solidFill>
                </w14:textFill>
              </w:rPr>
              <w:t xml:space="preserve">  </w:t>
            </w:r>
          </w:p>
        </w:tc>
        <w:tc>
          <w:tcPr>
            <w:tcW w:w="4465" w:type="dxa"/>
          </w:tcPr>
          <w:p w14:paraId="01952C32">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法定代表人或其委托代理人：</w:t>
            </w:r>
          </w:p>
        </w:tc>
      </w:tr>
      <w:tr w14:paraId="3EF7D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65" w:type="dxa"/>
          </w:tcPr>
          <w:p w14:paraId="4394B190">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签字或盖章</w:t>
            </w:r>
            <w:r>
              <w:rPr>
                <w:rFonts w:cs="宋体" w:asciiTheme="minorEastAsia" w:hAnsiTheme="minorEastAsia" w:eastAsiaTheme="minorEastAsia"/>
                <w:color w:val="000000" w:themeColor="text1"/>
                <w:szCs w:val="21"/>
                <w14:textFill>
                  <w14:solidFill>
                    <w14:schemeClr w14:val="tx1"/>
                  </w14:solidFill>
                </w14:textFill>
              </w:rPr>
              <w:t>)</w:t>
            </w:r>
          </w:p>
        </w:tc>
        <w:tc>
          <w:tcPr>
            <w:tcW w:w="4465" w:type="dxa"/>
          </w:tcPr>
          <w:p w14:paraId="6EDA476B">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签字或盖章</w:t>
            </w:r>
            <w:r>
              <w:rPr>
                <w:rFonts w:cs="宋体" w:asciiTheme="minorEastAsia" w:hAnsiTheme="minorEastAsia" w:eastAsiaTheme="minorEastAsia"/>
                <w:color w:val="000000" w:themeColor="text1"/>
                <w:szCs w:val="21"/>
                <w14:textFill>
                  <w14:solidFill>
                    <w14:schemeClr w14:val="tx1"/>
                  </w14:solidFill>
                </w14:textFill>
              </w:rPr>
              <w:t>)</w:t>
            </w:r>
          </w:p>
        </w:tc>
      </w:tr>
      <w:tr w14:paraId="16636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65" w:type="dxa"/>
          </w:tcPr>
          <w:p w14:paraId="4C60B517">
            <w:pPr>
              <w:spacing w:line="500" w:lineRule="exact"/>
              <w:jc w:val="left"/>
              <w:rPr>
                <w:szCs w:val="21"/>
              </w:rPr>
            </w:pPr>
            <w:r>
              <w:rPr>
                <w:rFonts w:hint="eastAsia"/>
                <w:szCs w:val="21"/>
              </w:rPr>
              <w:t>签约日期：</w:t>
            </w:r>
            <w:r>
              <w:rPr>
                <w:rFonts w:hint="eastAsia"/>
                <w:szCs w:val="21"/>
                <w:lang w:eastAsia="zh-CN"/>
              </w:rPr>
              <w:t>2026年</w:t>
            </w:r>
            <w:r>
              <w:rPr>
                <w:rFonts w:hint="eastAsia"/>
                <w:szCs w:val="21"/>
              </w:rPr>
              <w:t xml:space="preserve"> </w:t>
            </w:r>
            <w:r>
              <w:rPr>
                <w:rFonts w:hint="eastAsia"/>
                <w:szCs w:val="21"/>
                <w:lang w:val="en-US" w:eastAsia="zh-CN"/>
              </w:rPr>
              <w:t xml:space="preserve">  </w:t>
            </w:r>
            <w:r>
              <w:rPr>
                <w:rFonts w:hint="eastAsia"/>
                <w:szCs w:val="21"/>
              </w:rPr>
              <w:t xml:space="preserve"> 月</w:t>
            </w:r>
            <w:r>
              <w:rPr>
                <w:rFonts w:hint="eastAsia"/>
                <w:szCs w:val="21"/>
                <w:lang w:val="en-US" w:eastAsia="zh-CN"/>
              </w:rPr>
              <w:t xml:space="preserve"> </w:t>
            </w:r>
            <w:r>
              <w:rPr>
                <w:rFonts w:hint="eastAsia"/>
                <w:szCs w:val="21"/>
              </w:rPr>
              <w:t xml:space="preserve">   日 </w:t>
            </w:r>
          </w:p>
        </w:tc>
        <w:tc>
          <w:tcPr>
            <w:tcW w:w="4465" w:type="dxa"/>
          </w:tcPr>
          <w:p w14:paraId="5291D10C">
            <w:pPr>
              <w:spacing w:line="500" w:lineRule="exact"/>
              <w:jc w:val="left"/>
              <w:rPr>
                <w:szCs w:val="21"/>
              </w:rPr>
            </w:pPr>
            <w:r>
              <w:rPr>
                <w:rFonts w:hint="eastAsia"/>
                <w:szCs w:val="21"/>
              </w:rPr>
              <w:t>签约日期：</w:t>
            </w:r>
            <w:r>
              <w:rPr>
                <w:rFonts w:hint="eastAsia"/>
                <w:szCs w:val="21"/>
                <w:lang w:eastAsia="zh-CN"/>
              </w:rPr>
              <w:t>2026年</w:t>
            </w:r>
            <w:r>
              <w:rPr>
                <w:rFonts w:hint="eastAsia"/>
                <w:szCs w:val="21"/>
              </w:rPr>
              <w:t xml:space="preserve">  </w:t>
            </w:r>
            <w:r>
              <w:rPr>
                <w:rFonts w:hint="eastAsia"/>
                <w:szCs w:val="21"/>
                <w:lang w:val="en-US" w:eastAsia="zh-CN"/>
              </w:rPr>
              <w:t xml:space="preserve">  </w:t>
            </w:r>
            <w:r>
              <w:rPr>
                <w:rFonts w:hint="eastAsia"/>
                <w:szCs w:val="21"/>
              </w:rPr>
              <w:t xml:space="preserve">月   </w:t>
            </w:r>
            <w:r>
              <w:rPr>
                <w:rFonts w:hint="eastAsia"/>
                <w:szCs w:val="21"/>
                <w:lang w:val="en-US" w:eastAsia="zh-CN"/>
              </w:rPr>
              <w:t xml:space="preserve"> </w:t>
            </w:r>
            <w:r>
              <w:rPr>
                <w:rFonts w:hint="eastAsia"/>
                <w:szCs w:val="21"/>
              </w:rPr>
              <w:t>日</w:t>
            </w:r>
          </w:p>
        </w:tc>
      </w:tr>
      <w:tr w14:paraId="01CFC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65" w:type="dxa"/>
          </w:tcPr>
          <w:p w14:paraId="33656E90">
            <w:pPr>
              <w:spacing w:line="500" w:lineRule="exact"/>
              <w:jc w:val="left"/>
              <w:rPr>
                <w:rFonts w:hint="eastAsia"/>
                <w:szCs w:val="21"/>
              </w:rPr>
            </w:pPr>
          </w:p>
        </w:tc>
        <w:tc>
          <w:tcPr>
            <w:tcW w:w="4465" w:type="dxa"/>
          </w:tcPr>
          <w:p w14:paraId="01F73043">
            <w:pPr>
              <w:spacing w:line="500" w:lineRule="exact"/>
              <w:jc w:val="left"/>
              <w:rPr>
                <w:rFonts w:hint="eastAsia"/>
                <w:szCs w:val="21"/>
              </w:rPr>
            </w:pPr>
          </w:p>
        </w:tc>
      </w:tr>
      <w:permEnd w:id="45"/>
    </w:tbl>
    <w:p w14:paraId="7ACEC880">
      <w:pPr>
        <w:spacing w:line="500" w:lineRule="exact"/>
        <w:ind w:firstLine="200"/>
        <w:jc w:val="left"/>
        <w:rPr>
          <w:szCs w:val="21"/>
        </w:rPr>
      </w:pPr>
      <w:r>
        <w:rPr>
          <w:rFonts w:asciiTheme="majorEastAsia" w:hAnsiTheme="majorEastAsia" w:eastAsiaTheme="majorEastAsia"/>
          <w:sz w:val="44"/>
          <w:szCs w:val="44"/>
        </w:rPr>
        <w:br w:type="page"/>
      </w:r>
    </w:p>
    <w:p w14:paraId="4A33F1D5">
      <w:pPr>
        <w:spacing w:line="440" w:lineRule="exact"/>
        <w:jc w:val="center"/>
        <w:rPr>
          <w:rFonts w:asciiTheme="majorEastAsia" w:hAnsiTheme="majorEastAsia" w:eastAsiaTheme="majorEastAsia"/>
          <w:b/>
          <w:sz w:val="44"/>
          <w:szCs w:val="44"/>
        </w:rPr>
        <w:sectPr>
          <w:footerReference r:id="rId3" w:type="default"/>
          <w:pgSz w:w="11906" w:h="16838"/>
          <w:pgMar w:top="1440" w:right="1700" w:bottom="1440" w:left="1276" w:header="851" w:footer="992" w:gutter="0"/>
          <w:cols w:space="425" w:num="1"/>
          <w:docGrid w:type="lines" w:linePitch="312" w:charSpace="0"/>
        </w:sectPr>
      </w:pPr>
    </w:p>
    <w:p w14:paraId="1978B8CD">
      <w:pPr>
        <w:pStyle w:val="16"/>
        <w:spacing w:line="500" w:lineRule="exact"/>
        <w:rPr>
          <w:sz w:val="44"/>
          <w:szCs w:val="44"/>
        </w:rPr>
      </w:pPr>
      <w:r>
        <w:rPr>
          <w:rFonts w:hint="eastAsia"/>
          <w:sz w:val="44"/>
          <w:szCs w:val="44"/>
        </w:rPr>
        <w:t>工程质量保修书</w:t>
      </w:r>
    </w:p>
    <w:p w14:paraId="170EE2AD">
      <w:pPr>
        <w:spacing w:line="500" w:lineRule="exact"/>
        <w:ind w:firstLine="420"/>
        <w:rPr>
          <w:rFonts w:hint="eastAsia" w:ascii="宋体" w:hAnsi="宋体" w:eastAsia="宋体"/>
          <w:kern w:val="0"/>
          <w:szCs w:val="21"/>
          <w:lang w:eastAsia="zh-CN"/>
        </w:rPr>
      </w:pPr>
      <w:r>
        <w:rPr>
          <w:rFonts w:hint="eastAsia" w:ascii="宋体" w:hAnsi="宋体" w:cs="宋体"/>
          <w:kern w:val="0"/>
          <w:szCs w:val="21"/>
        </w:rPr>
        <w:t>承包人(全称)：</w:t>
      </w:r>
      <w:permStart w:id="46" w:edGrp="everyone"/>
      <w:r>
        <w:rPr>
          <w:rFonts w:hint="eastAsia" w:ascii="宋体" w:hAnsi="宋体" w:cs="宋体"/>
          <w:kern w:val="0"/>
          <w:szCs w:val="21"/>
          <w:lang w:val="en-US" w:eastAsia="zh-CN"/>
        </w:rPr>
        <w:t>常州黑牡丹建设投资有限公司</w:t>
      </w:r>
    </w:p>
    <w:permEnd w:id="46"/>
    <w:p w14:paraId="4E42BF5F">
      <w:pPr>
        <w:autoSpaceDE w:val="0"/>
        <w:autoSpaceDN w:val="0"/>
        <w:adjustRightInd w:val="0"/>
        <w:spacing w:line="500" w:lineRule="exact"/>
        <w:ind w:firstLine="420" w:firstLineChars="200"/>
        <w:jc w:val="left"/>
        <w:rPr>
          <w:rFonts w:ascii="宋体" w:hAnsi="宋体" w:cs="宋体"/>
          <w:kern w:val="0"/>
          <w:szCs w:val="21"/>
        </w:rPr>
      </w:pPr>
      <w:r>
        <w:rPr>
          <w:rFonts w:hint="eastAsia" w:ascii="宋体" w:hAnsi="宋体" w:cs="宋体"/>
          <w:kern w:val="0"/>
          <w:szCs w:val="21"/>
        </w:rPr>
        <w:t>分包人(全称)：</w:t>
      </w:r>
      <w:permStart w:id="47" w:edGrp="everyone"/>
      <w:r>
        <w:rPr>
          <w:rFonts w:hint="eastAsia" w:ascii="宋体" w:hAnsi="宋体" w:cs="宋体"/>
          <w:kern w:val="0"/>
          <w:szCs w:val="21"/>
        </w:rPr>
        <w:t xml:space="preserve">       </w:t>
      </w:r>
    </w:p>
    <w:permEnd w:id="47"/>
    <w:p w14:paraId="52F8C26F">
      <w:pPr>
        <w:autoSpaceDE w:val="0"/>
        <w:autoSpaceDN w:val="0"/>
        <w:adjustRightInd w:val="0"/>
        <w:spacing w:line="500" w:lineRule="exact"/>
        <w:ind w:left="-141" w:leftChars="-67" w:firstLine="567" w:firstLineChars="270"/>
        <w:jc w:val="left"/>
        <w:rPr>
          <w:rFonts w:ascii="宋体" w:hAnsi="宋体"/>
          <w:kern w:val="0"/>
          <w:szCs w:val="21"/>
        </w:rPr>
      </w:pPr>
      <w:r>
        <w:rPr>
          <w:rFonts w:hint="eastAsia" w:ascii="宋体" w:hAnsi="宋体" w:cs="宋体"/>
          <w:kern w:val="0"/>
          <w:szCs w:val="21"/>
        </w:rPr>
        <w:t>承包人和分包人根据《中华人民共和国建筑法》和《建设工程质量管理条例》，经协商一致就</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kern w:val="0"/>
          <w:szCs w:val="21"/>
        </w:rPr>
        <w:t>（工程全称）签订工程质量保修书。</w:t>
      </w:r>
    </w:p>
    <w:p w14:paraId="6078F0FC">
      <w:pPr>
        <w:autoSpaceDE w:val="0"/>
        <w:autoSpaceDN w:val="0"/>
        <w:adjustRightInd w:val="0"/>
        <w:spacing w:line="500" w:lineRule="exact"/>
        <w:ind w:firstLine="422" w:firstLineChars="200"/>
        <w:jc w:val="left"/>
        <w:rPr>
          <w:rFonts w:ascii="宋体" w:hAnsi="宋体"/>
          <w:b/>
          <w:bCs/>
          <w:kern w:val="0"/>
          <w:szCs w:val="21"/>
        </w:rPr>
      </w:pPr>
      <w:r>
        <w:rPr>
          <w:rFonts w:hint="eastAsia" w:ascii="宋体" w:hAnsi="宋体" w:cs="宋体"/>
          <w:b/>
          <w:bCs/>
          <w:kern w:val="0"/>
          <w:szCs w:val="21"/>
        </w:rPr>
        <w:t>一、工程质量保修范围和内容</w:t>
      </w:r>
    </w:p>
    <w:p w14:paraId="01FC0E96">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分包人在质量保修期内，按照有关法律规定和合同约定，承担工程质量保修责任。</w:t>
      </w:r>
    </w:p>
    <w:p w14:paraId="5A59B5C0">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4C7A626">
      <w:pPr>
        <w:autoSpaceDE w:val="0"/>
        <w:autoSpaceDN w:val="0"/>
        <w:adjustRightInd w:val="0"/>
        <w:spacing w:line="500" w:lineRule="exact"/>
        <w:ind w:firstLine="422" w:firstLineChars="200"/>
        <w:jc w:val="left"/>
        <w:rPr>
          <w:rFonts w:ascii="宋体" w:hAnsi="宋体"/>
          <w:b/>
          <w:bCs/>
          <w:kern w:val="0"/>
          <w:szCs w:val="21"/>
        </w:rPr>
      </w:pPr>
      <w:r>
        <w:rPr>
          <w:rFonts w:hint="eastAsia" w:ascii="宋体" w:hAnsi="宋体" w:cs="宋体"/>
          <w:b/>
          <w:bCs/>
          <w:kern w:val="0"/>
          <w:szCs w:val="21"/>
        </w:rPr>
        <w:t>二、质量保修期</w:t>
      </w:r>
    </w:p>
    <w:p w14:paraId="5ECAA974">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根据《建设工程质量管理条例》及有关规定，工程的质量保修期如下：</w:t>
      </w:r>
    </w:p>
    <w:p w14:paraId="63368CBF">
      <w:pPr>
        <w:autoSpaceDE w:val="0"/>
        <w:autoSpaceDN w:val="0"/>
        <w:adjustRightInd w:val="0"/>
        <w:spacing w:line="500" w:lineRule="exact"/>
        <w:ind w:firstLine="420" w:firstLineChars="200"/>
        <w:jc w:val="left"/>
        <w:rPr>
          <w:rFonts w:ascii="宋体" w:hAnsi="宋体" w:cs="宋体"/>
          <w:kern w:val="0"/>
          <w:szCs w:val="21"/>
        </w:rPr>
      </w:pPr>
      <w:r>
        <w:rPr>
          <w:rFonts w:hint="eastAsia" w:ascii="宋体" w:hAnsi="宋体" w:cs="宋体"/>
          <w:kern w:val="0"/>
          <w:szCs w:val="21"/>
        </w:rPr>
        <w:t>1.地基基础工程和主体结构工程为设计文件规定的该工程合理使用年限；</w:t>
      </w:r>
    </w:p>
    <w:p w14:paraId="2E36488D">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2.屋面防水工程、有防水要求的卫生间、房间和外墙面的防渗漏为伍年；</w:t>
      </w:r>
    </w:p>
    <w:p w14:paraId="69AD4C8B">
      <w:pPr>
        <w:spacing w:line="500" w:lineRule="exact"/>
        <w:ind w:firstLine="420" w:firstLineChars="200"/>
        <w:rPr>
          <w:rFonts w:ascii="宋体" w:hAnsi="宋体" w:cs="宋体"/>
          <w:kern w:val="0"/>
          <w:szCs w:val="21"/>
        </w:rPr>
      </w:pPr>
      <w:r>
        <w:rPr>
          <w:rFonts w:hint="eastAsia" w:ascii="宋体" w:hAnsi="宋体" w:cs="宋体"/>
          <w:kern w:val="0"/>
          <w:szCs w:val="21"/>
        </w:rPr>
        <w:t>3.装修工程为贰年；</w:t>
      </w:r>
    </w:p>
    <w:p w14:paraId="4B935C3C">
      <w:pPr>
        <w:spacing w:line="500" w:lineRule="exact"/>
        <w:ind w:firstLine="420" w:firstLineChars="200"/>
        <w:rPr>
          <w:rFonts w:ascii="宋体" w:hAnsi="宋体"/>
          <w:kern w:val="0"/>
          <w:szCs w:val="21"/>
        </w:rPr>
      </w:pPr>
      <w:r>
        <w:rPr>
          <w:rFonts w:hint="eastAsia" w:ascii="宋体" w:hAnsi="宋体" w:cs="宋体"/>
          <w:kern w:val="0"/>
          <w:szCs w:val="21"/>
        </w:rPr>
        <w:t>4.电气管线、给排水管道、设备安装工程为贰年；</w:t>
      </w:r>
    </w:p>
    <w:p w14:paraId="0C0E6252">
      <w:pPr>
        <w:spacing w:line="500" w:lineRule="exact"/>
        <w:ind w:firstLine="420" w:firstLineChars="200"/>
        <w:rPr>
          <w:rFonts w:ascii="宋体" w:hAnsi="宋体"/>
          <w:kern w:val="0"/>
          <w:szCs w:val="21"/>
        </w:rPr>
      </w:pPr>
      <w:r>
        <w:rPr>
          <w:rFonts w:hint="eastAsia" w:ascii="宋体" w:hAnsi="宋体" w:cs="宋体"/>
          <w:kern w:val="0"/>
          <w:szCs w:val="21"/>
        </w:rPr>
        <w:t>5.供热与供冷系统为贰个采暖期、供冷期；</w:t>
      </w:r>
    </w:p>
    <w:p w14:paraId="0E66A264">
      <w:pPr>
        <w:spacing w:line="500" w:lineRule="exact"/>
        <w:ind w:firstLine="420" w:firstLineChars="200"/>
        <w:rPr>
          <w:rFonts w:ascii="宋体" w:hAnsi="宋体"/>
          <w:kern w:val="0"/>
          <w:szCs w:val="21"/>
        </w:rPr>
      </w:pPr>
      <w:r>
        <w:rPr>
          <w:rFonts w:hint="eastAsia" w:ascii="宋体" w:hAnsi="宋体" w:cs="宋体"/>
          <w:kern w:val="0"/>
          <w:szCs w:val="21"/>
        </w:rPr>
        <w:t>6.住宅小区内的给排水设施、道路等配套工程为/年；</w:t>
      </w:r>
    </w:p>
    <w:p w14:paraId="4E52A692">
      <w:pPr>
        <w:spacing w:line="500" w:lineRule="exact"/>
        <w:ind w:firstLine="420" w:firstLineChars="200"/>
        <w:rPr>
          <w:rFonts w:ascii="宋体" w:hAnsi="宋体"/>
          <w:kern w:val="0"/>
          <w:szCs w:val="21"/>
        </w:rPr>
      </w:pPr>
      <w:r>
        <w:rPr>
          <w:rFonts w:hint="eastAsia" w:ascii="宋体" w:hAnsi="宋体" w:cs="宋体"/>
          <w:kern w:val="0"/>
          <w:szCs w:val="21"/>
        </w:rPr>
        <w:t>7.其他项目保修期限约定如下：</w:t>
      </w:r>
      <w:permStart w:id="48" w:edGrp="everyone"/>
      <w:r>
        <w:rPr>
          <w:rFonts w:hint="eastAsia" w:ascii="宋体" w:hAnsi="宋体" w:cs="宋体"/>
          <w:kern w:val="0"/>
          <w:szCs w:val="21"/>
        </w:rPr>
        <w:t xml:space="preserve"> /</w:t>
      </w:r>
    </w:p>
    <w:permEnd w:id="48"/>
    <w:p w14:paraId="51CE9D83">
      <w:pPr>
        <w:autoSpaceDE w:val="0"/>
        <w:autoSpaceDN w:val="0"/>
        <w:adjustRightInd w:val="0"/>
        <w:spacing w:line="500" w:lineRule="exact"/>
        <w:ind w:firstLine="422" w:firstLineChars="200"/>
        <w:jc w:val="left"/>
        <w:rPr>
          <w:rFonts w:ascii="宋体" w:hAnsi="宋体"/>
          <w:b/>
          <w:bCs/>
          <w:kern w:val="0"/>
          <w:szCs w:val="21"/>
        </w:rPr>
      </w:pPr>
      <w:r>
        <w:rPr>
          <w:rFonts w:hint="eastAsia" w:ascii="宋体" w:hAnsi="宋体" w:cs="宋体"/>
          <w:b/>
          <w:bCs/>
          <w:kern w:val="0"/>
          <w:szCs w:val="21"/>
        </w:rPr>
        <w:t>三、缺陷责任期</w:t>
      </w:r>
    </w:p>
    <w:p w14:paraId="67F9DF3E">
      <w:pPr>
        <w:autoSpaceDE w:val="0"/>
        <w:autoSpaceDN w:val="0"/>
        <w:adjustRightInd w:val="0"/>
        <w:spacing w:line="500" w:lineRule="exact"/>
        <w:ind w:firstLine="420" w:firstLineChars="200"/>
        <w:jc w:val="left"/>
        <w:rPr>
          <w:rFonts w:ascii="宋体" w:hAnsi="宋体" w:cs="宋体"/>
          <w:kern w:val="0"/>
          <w:szCs w:val="21"/>
        </w:rPr>
      </w:pPr>
      <w:r>
        <w:rPr>
          <w:rFonts w:hint="eastAsia" w:ascii="宋体" w:hAnsi="宋体" w:cs="宋体"/>
          <w:kern w:val="0"/>
          <w:szCs w:val="21"/>
        </w:rPr>
        <w:t xml:space="preserve">工程缺陷责任期为24个月，缺陷责任期自工程竣工验收合格之日起计算。单位工程先于全部工程进行验收，单位工程缺陷责任期自单位工程验收合格之日起算。  </w:t>
      </w:r>
      <w:r>
        <w:rPr>
          <w:rFonts w:ascii="宋体" w:hAnsi="宋体" w:cs="宋体"/>
          <w:kern w:val="0"/>
          <w:szCs w:val="21"/>
        </w:rPr>
        <w:t xml:space="preserve"> </w:t>
      </w:r>
    </w:p>
    <w:p w14:paraId="4EB4DFC4">
      <w:pPr>
        <w:autoSpaceDE w:val="0"/>
        <w:autoSpaceDN w:val="0"/>
        <w:adjustRightInd w:val="0"/>
        <w:spacing w:line="500" w:lineRule="exact"/>
        <w:ind w:firstLine="422" w:firstLineChars="200"/>
        <w:jc w:val="left"/>
        <w:rPr>
          <w:rFonts w:ascii="宋体" w:hAnsi="宋体"/>
          <w:b/>
          <w:bCs/>
          <w:kern w:val="0"/>
          <w:szCs w:val="21"/>
        </w:rPr>
      </w:pPr>
      <w:r>
        <w:rPr>
          <w:rFonts w:hint="eastAsia" w:ascii="宋体" w:hAnsi="宋体" w:cs="宋体"/>
          <w:b/>
          <w:bCs/>
          <w:kern w:val="0"/>
          <w:szCs w:val="21"/>
        </w:rPr>
        <w:t>四、质量保修责任</w:t>
      </w:r>
    </w:p>
    <w:p w14:paraId="2407FEB8">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1．属于保修范围、内容的项目，分包人应当在接到保修通知之日起7天内派人保修。</w:t>
      </w:r>
    </w:p>
    <w:p w14:paraId="526CB051">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分包人不在约定期限内派人保修的，承包人可以委托他人修理。</w:t>
      </w:r>
    </w:p>
    <w:p w14:paraId="400F8263">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2．发生紧急事故需抢修的，分包人在接到事故通知后，应当立即到达事故现场抢修。</w:t>
      </w:r>
    </w:p>
    <w:p w14:paraId="64DA50AA">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3．对于涉及结构安全的质量问题，应当按照《建设工程质量管理条例》的规定，立即向当地建设行政主管部门和有关部门报告，采取安全防范措施，并由原设计人或者具有相应资质等级的设计人提出保修方案，分包人实施保修。</w:t>
      </w:r>
    </w:p>
    <w:p w14:paraId="6E3A5ADB">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4．质量保修完成后，由承包人组织验收。</w:t>
      </w:r>
    </w:p>
    <w:p w14:paraId="3899D1C9">
      <w:pPr>
        <w:autoSpaceDE w:val="0"/>
        <w:autoSpaceDN w:val="0"/>
        <w:adjustRightInd w:val="0"/>
        <w:spacing w:line="500" w:lineRule="exact"/>
        <w:ind w:firstLine="422" w:firstLineChars="200"/>
        <w:jc w:val="left"/>
        <w:rPr>
          <w:rFonts w:ascii="宋体" w:hAnsi="宋体"/>
          <w:b/>
          <w:bCs/>
          <w:kern w:val="0"/>
          <w:szCs w:val="21"/>
        </w:rPr>
      </w:pPr>
      <w:r>
        <w:rPr>
          <w:rFonts w:hint="eastAsia" w:ascii="宋体" w:hAnsi="宋体" w:cs="宋体"/>
          <w:b/>
          <w:bCs/>
          <w:kern w:val="0"/>
          <w:szCs w:val="21"/>
        </w:rPr>
        <w:t>五、保修费用</w:t>
      </w:r>
    </w:p>
    <w:p w14:paraId="05F48060">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保修费用由造成质量缺陷的责任方承担。</w:t>
      </w:r>
    </w:p>
    <w:p w14:paraId="342774B4">
      <w:pPr>
        <w:autoSpaceDE w:val="0"/>
        <w:autoSpaceDN w:val="0"/>
        <w:adjustRightInd w:val="0"/>
        <w:spacing w:line="500" w:lineRule="exact"/>
        <w:ind w:firstLine="422" w:firstLineChars="200"/>
        <w:jc w:val="left"/>
        <w:rPr>
          <w:rFonts w:ascii="宋体" w:hAnsi="宋体"/>
          <w:b/>
          <w:bCs/>
          <w:kern w:val="0"/>
          <w:szCs w:val="21"/>
        </w:rPr>
      </w:pPr>
      <w:r>
        <w:rPr>
          <w:rFonts w:hint="eastAsia" w:ascii="宋体" w:hAnsi="宋体" w:cs="宋体"/>
          <w:b/>
          <w:bCs/>
          <w:kern w:val="0"/>
          <w:szCs w:val="21"/>
        </w:rPr>
        <w:t>六、双方约定的其他工程质量保修事项：</w:t>
      </w:r>
    </w:p>
    <w:p w14:paraId="68314B12">
      <w:pPr>
        <w:autoSpaceDE w:val="0"/>
        <w:autoSpaceDN w:val="0"/>
        <w:adjustRightInd w:val="0"/>
        <w:spacing w:line="500" w:lineRule="exact"/>
        <w:ind w:firstLine="420" w:firstLineChars="200"/>
        <w:jc w:val="left"/>
        <w:rPr>
          <w:rFonts w:ascii="宋体" w:hAnsi="宋体" w:cs="宋体"/>
          <w:kern w:val="0"/>
          <w:szCs w:val="21"/>
        </w:rPr>
      </w:pPr>
      <w:r>
        <w:rPr>
          <w:rFonts w:hint="eastAsia" w:ascii="宋体" w:hAnsi="宋体" w:cs="宋体"/>
          <w:kern w:val="0"/>
          <w:szCs w:val="21"/>
        </w:rPr>
        <w:t>质量保修金约定：</w:t>
      </w:r>
    </w:p>
    <w:p w14:paraId="31F39B86">
      <w:pPr>
        <w:autoSpaceDE w:val="0"/>
        <w:autoSpaceDN w:val="0"/>
        <w:adjustRightInd w:val="0"/>
        <w:spacing w:line="500" w:lineRule="exact"/>
        <w:ind w:firstLine="420" w:firstLineChars="200"/>
        <w:jc w:val="left"/>
        <w:rPr>
          <w:rFonts w:ascii="宋体" w:hAnsi="宋体"/>
          <w:kern w:val="0"/>
          <w:szCs w:val="21"/>
        </w:rPr>
      </w:pPr>
      <w:permStart w:id="49" w:edGrp="everyone"/>
      <w:r>
        <w:rPr>
          <w:rFonts w:hint="eastAsia" w:ascii="宋体" w:hAnsi="宋体" w:cs="宋体"/>
          <w:kern w:val="0"/>
          <w:szCs w:val="21"/>
        </w:rPr>
        <w:t>1.保修金按审定金额的3%计算，</w:t>
      </w:r>
      <w:r>
        <w:rPr>
          <w:rFonts w:hint="eastAsia" w:ascii="宋体" w:hAnsi="宋体"/>
          <w:kern w:val="0"/>
          <w:szCs w:val="21"/>
        </w:rPr>
        <w:t>保修金在保修期结束</w:t>
      </w:r>
      <w:r>
        <w:rPr>
          <w:rFonts w:ascii="宋体" w:hAnsi="宋体"/>
          <w:kern w:val="0"/>
          <w:szCs w:val="21"/>
        </w:rPr>
        <w:t>后</w:t>
      </w:r>
      <w:r>
        <w:rPr>
          <w:rFonts w:hint="eastAsia" w:ascii="宋体" w:hAnsi="宋体"/>
          <w:kern w:val="0"/>
          <w:szCs w:val="21"/>
          <w:lang w:val="en-US" w:eastAsia="zh-CN"/>
        </w:rPr>
        <w:t>次月月底</w:t>
      </w:r>
      <w:r>
        <w:rPr>
          <w:rFonts w:ascii="宋体" w:hAnsi="宋体"/>
          <w:kern w:val="0"/>
          <w:szCs w:val="21"/>
        </w:rPr>
        <w:t>支付（</w:t>
      </w:r>
      <w:r>
        <w:rPr>
          <w:rFonts w:hint="eastAsia" w:ascii="宋体" w:hAnsi="宋体"/>
          <w:kern w:val="0"/>
          <w:szCs w:val="21"/>
        </w:rPr>
        <w:t>无息</w:t>
      </w:r>
      <w:r>
        <w:rPr>
          <w:rFonts w:ascii="宋体" w:hAnsi="宋体"/>
          <w:kern w:val="0"/>
          <w:szCs w:val="21"/>
        </w:rPr>
        <w:t>）</w:t>
      </w:r>
      <w:r>
        <w:rPr>
          <w:rFonts w:hint="eastAsia" w:ascii="宋体" w:hAnsi="宋体"/>
          <w:kern w:val="0"/>
          <w:szCs w:val="21"/>
        </w:rPr>
        <w:t>。</w:t>
      </w:r>
    </w:p>
    <w:permEnd w:id="49"/>
    <w:p w14:paraId="64E5624D">
      <w:pPr>
        <w:autoSpaceDE w:val="0"/>
        <w:autoSpaceDN w:val="0"/>
        <w:adjustRightInd w:val="0"/>
        <w:spacing w:line="500" w:lineRule="exact"/>
        <w:ind w:firstLine="420" w:firstLineChars="200"/>
        <w:jc w:val="left"/>
        <w:rPr>
          <w:rFonts w:ascii="宋体" w:hAnsi="宋体" w:cs="宋体"/>
          <w:kern w:val="0"/>
          <w:szCs w:val="21"/>
        </w:rPr>
      </w:pPr>
      <w:r>
        <w:rPr>
          <w:rFonts w:hint="eastAsia" w:ascii="宋体" w:hAnsi="宋体" w:cs="宋体"/>
          <w:kern w:val="0"/>
          <w:szCs w:val="21"/>
        </w:rPr>
        <w:t>2.因分包人原因造成工程的缺陷或损坏，分包人拒绝维修或未能在合理期限内修复缺陷或损坏，且经承包人书面催告后仍未修复的，承包人有权自行修复或委托第三方修复，所需费用由分包人承担。但修复范围超出缺陷或损坏范围的，超出范围部分的修复费用由承包人承担。</w:t>
      </w:r>
    </w:p>
    <w:p w14:paraId="7070E892">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工程质量保修书由承包人、分包人在工程竣工验收前共同签署，作为施工合同附件，其有效期限至保修期满。</w:t>
      </w:r>
    </w:p>
    <w:p w14:paraId="1D19D538">
      <w:pPr>
        <w:autoSpaceDE w:val="0"/>
        <w:autoSpaceDN w:val="0"/>
        <w:adjustRightInd w:val="0"/>
        <w:spacing w:line="500" w:lineRule="exact"/>
        <w:jc w:val="left"/>
        <w:rPr>
          <w:rFonts w:ascii="宋体" w:hAnsi="宋体"/>
          <w:kern w:val="0"/>
          <w:szCs w:val="21"/>
        </w:rPr>
      </w:pPr>
      <w:permStart w:id="50" w:edGrp="everyone"/>
    </w:p>
    <w:tbl>
      <w:tblPr>
        <w:tblStyle w:val="7"/>
        <w:tblW w:w="0" w:type="auto"/>
        <w:tblInd w:w="0" w:type="dxa"/>
        <w:tblLayout w:type="autofit"/>
        <w:tblCellMar>
          <w:top w:w="0" w:type="dxa"/>
          <w:left w:w="108" w:type="dxa"/>
          <w:bottom w:w="0" w:type="dxa"/>
          <w:right w:w="108" w:type="dxa"/>
        </w:tblCellMar>
      </w:tblPr>
      <w:tblGrid>
        <w:gridCol w:w="4465"/>
        <w:gridCol w:w="4465"/>
      </w:tblGrid>
      <w:tr w14:paraId="34617A3C">
        <w:tblPrEx>
          <w:tblCellMar>
            <w:top w:w="0" w:type="dxa"/>
            <w:left w:w="108" w:type="dxa"/>
            <w:bottom w:w="0" w:type="dxa"/>
            <w:right w:w="108" w:type="dxa"/>
          </w:tblCellMar>
        </w:tblPrEx>
        <w:tc>
          <w:tcPr>
            <w:tcW w:w="4465" w:type="dxa"/>
            <w:shd w:val="clear" w:color="auto" w:fill="auto"/>
          </w:tcPr>
          <w:p w14:paraId="6B23156C">
            <w:pPr>
              <w:autoSpaceDE w:val="0"/>
              <w:autoSpaceDN w:val="0"/>
              <w:adjustRightInd w:val="0"/>
              <w:spacing w:line="500" w:lineRule="exact"/>
              <w:jc w:val="left"/>
              <w:rPr>
                <w:rFonts w:ascii="宋体" w:hAnsi="宋体" w:cs="宋体"/>
                <w:color w:val="000000"/>
                <w:szCs w:val="21"/>
              </w:rPr>
            </w:pPr>
            <w:r>
              <w:rPr>
                <w:rFonts w:hint="eastAsia" w:ascii="宋体" w:hAnsi="宋体" w:cs="宋体"/>
                <w:color w:val="000000"/>
                <w:spacing w:val="52"/>
                <w:kern w:val="0"/>
                <w:szCs w:val="21"/>
                <w:fitText w:val="840" w:id="-974381824"/>
              </w:rPr>
              <w:t>承包</w:t>
            </w:r>
            <w:r>
              <w:rPr>
                <w:rFonts w:hint="eastAsia" w:ascii="宋体" w:hAnsi="宋体" w:cs="宋体"/>
                <w:color w:val="000000"/>
                <w:spacing w:val="1"/>
                <w:kern w:val="0"/>
                <w:szCs w:val="21"/>
                <w:fitText w:val="840" w:id="-974381824"/>
              </w:rPr>
              <w:t>人</w:t>
            </w:r>
            <w:r>
              <w:rPr>
                <w:rFonts w:hint="eastAsia" w:ascii="宋体" w:hAnsi="宋体" w:cs="宋体"/>
                <w:color w:val="000000"/>
                <w:szCs w:val="21"/>
              </w:rPr>
              <w:t>：</w:t>
            </w:r>
            <w:r>
              <w:rPr>
                <w:rFonts w:hint="eastAsia" w:ascii="宋体" w:hAnsi="宋体" w:cs="宋体"/>
                <w:color w:val="000000"/>
                <w:szCs w:val="21"/>
                <w:u w:val="single"/>
              </w:rPr>
              <w:t>　</w:t>
            </w:r>
            <w:r>
              <w:rPr>
                <w:rFonts w:hint="eastAsia" w:ascii="宋体" w:hAnsi="宋体" w:cs="宋体"/>
                <w:color w:val="000000"/>
                <w:szCs w:val="21"/>
                <w:u w:val="single"/>
                <w:lang w:val="en-US" w:eastAsia="zh-CN"/>
              </w:rPr>
              <w:t>常州黑牡丹建设投资有限公司</w:t>
            </w:r>
            <w:r>
              <w:rPr>
                <w:rFonts w:hint="eastAsia" w:ascii="宋体" w:hAnsi="宋体" w:cs="宋体"/>
                <w:color w:val="000000"/>
                <w:szCs w:val="21"/>
                <w:u w:val="single"/>
              </w:rPr>
              <w:t>　</w:t>
            </w:r>
            <w:r>
              <w:rPr>
                <w:rFonts w:ascii="宋体" w:hAnsi="宋体" w:cs="宋体"/>
                <w:color w:val="000000"/>
                <w:szCs w:val="21"/>
                <w:u w:val="single"/>
              </w:rPr>
              <w:t xml:space="preserve">                         </w:t>
            </w:r>
          </w:p>
        </w:tc>
        <w:tc>
          <w:tcPr>
            <w:tcW w:w="4465" w:type="dxa"/>
            <w:shd w:val="clear" w:color="auto" w:fill="auto"/>
          </w:tcPr>
          <w:p w14:paraId="7A992AFB">
            <w:pPr>
              <w:autoSpaceDE w:val="0"/>
              <w:autoSpaceDN w:val="0"/>
              <w:adjustRightInd w:val="0"/>
              <w:spacing w:line="500" w:lineRule="exact"/>
              <w:jc w:val="left"/>
              <w:rPr>
                <w:rFonts w:ascii="宋体" w:hAnsi="宋体" w:cs="宋体"/>
                <w:color w:val="000000"/>
                <w:szCs w:val="21"/>
              </w:rPr>
            </w:pPr>
            <w:r>
              <w:rPr>
                <w:rFonts w:hint="eastAsia" w:ascii="宋体" w:hAnsi="宋体" w:cs="宋体"/>
                <w:color w:val="000000"/>
                <w:spacing w:val="52"/>
                <w:kern w:val="0"/>
                <w:szCs w:val="21"/>
                <w:fitText w:val="840" w:id="-974381823"/>
              </w:rPr>
              <w:t>分包</w:t>
            </w:r>
            <w:r>
              <w:rPr>
                <w:rFonts w:hint="eastAsia" w:ascii="宋体" w:hAnsi="宋体" w:cs="宋体"/>
                <w:color w:val="000000"/>
                <w:spacing w:val="1"/>
                <w:kern w:val="0"/>
                <w:szCs w:val="21"/>
                <w:fitText w:val="840" w:id="-974381823"/>
              </w:rPr>
              <w:t>人</w:t>
            </w:r>
            <w:r>
              <w:rPr>
                <w:rFonts w:hint="eastAsia" w:ascii="宋体" w:hAnsi="宋体" w:cs="宋体"/>
                <w:color w:val="000000"/>
                <w:szCs w:val="21"/>
              </w:rPr>
              <w:t>：</w:t>
            </w:r>
            <w:r>
              <w:rPr>
                <w:rFonts w:hint="eastAsia" w:ascii="宋体" w:hAnsi="宋体" w:cs="宋体"/>
                <w:color w:val="000000"/>
                <w:szCs w:val="21"/>
                <w:u w:val="single"/>
              </w:rPr>
              <w:t>　　</w:t>
            </w:r>
            <w:r>
              <w:rPr>
                <w:rFonts w:ascii="宋体" w:hAnsi="宋体" w:cs="宋体"/>
                <w:color w:val="000000"/>
                <w:szCs w:val="21"/>
                <w:u w:val="single"/>
              </w:rPr>
              <w:t xml:space="preserve">                         </w:t>
            </w:r>
          </w:p>
        </w:tc>
      </w:tr>
      <w:tr w14:paraId="7B5120A6">
        <w:tblPrEx>
          <w:tblCellMar>
            <w:top w:w="0" w:type="dxa"/>
            <w:left w:w="108" w:type="dxa"/>
            <w:bottom w:w="0" w:type="dxa"/>
            <w:right w:w="108" w:type="dxa"/>
          </w:tblCellMar>
        </w:tblPrEx>
        <w:tc>
          <w:tcPr>
            <w:tcW w:w="4465" w:type="dxa"/>
            <w:shd w:val="clear" w:color="auto" w:fill="auto"/>
          </w:tcPr>
          <w:p w14:paraId="20A80145">
            <w:pPr>
              <w:autoSpaceDE w:val="0"/>
              <w:autoSpaceDN w:val="0"/>
              <w:adjustRightInd w:val="0"/>
              <w:spacing w:line="500" w:lineRule="exact"/>
              <w:jc w:val="left"/>
              <w:rPr>
                <w:rFonts w:ascii="宋体" w:hAnsi="宋体"/>
                <w:color w:val="000000"/>
                <w:szCs w:val="21"/>
              </w:rPr>
            </w:pPr>
            <w:r>
              <w:rPr>
                <w:rFonts w:ascii="宋体" w:hAnsi="宋体" w:cs="宋体"/>
                <w:color w:val="000000"/>
                <w:szCs w:val="21"/>
              </w:rPr>
              <w:t>(</w:t>
            </w:r>
            <w:r>
              <w:rPr>
                <w:rFonts w:hint="eastAsia" w:ascii="宋体" w:hAnsi="宋体" w:cs="宋体"/>
                <w:color w:val="000000"/>
                <w:szCs w:val="21"/>
              </w:rPr>
              <w:t>盖章</w:t>
            </w:r>
            <w:r>
              <w:rPr>
                <w:rFonts w:ascii="宋体" w:hAnsi="宋体" w:cs="宋体"/>
                <w:color w:val="000000"/>
                <w:szCs w:val="21"/>
              </w:rPr>
              <w:t>)</w:t>
            </w:r>
            <w:r>
              <w:rPr>
                <w:rFonts w:hint="eastAsia" w:ascii="宋体" w:hAnsi="宋体"/>
                <w:color w:val="000000"/>
                <w:szCs w:val="21"/>
              </w:rPr>
              <w:t xml:space="preserve"> </w:t>
            </w:r>
          </w:p>
        </w:tc>
        <w:tc>
          <w:tcPr>
            <w:tcW w:w="4465" w:type="dxa"/>
            <w:shd w:val="clear" w:color="auto" w:fill="auto"/>
          </w:tcPr>
          <w:p w14:paraId="3FCC7C64">
            <w:pPr>
              <w:autoSpaceDE w:val="0"/>
              <w:autoSpaceDN w:val="0"/>
              <w:adjustRightInd w:val="0"/>
              <w:spacing w:line="500" w:lineRule="exact"/>
              <w:jc w:val="left"/>
              <w:rPr>
                <w:rFonts w:ascii="宋体" w:hAnsi="宋体"/>
                <w:color w:val="000000"/>
                <w:szCs w:val="21"/>
              </w:rPr>
            </w:pPr>
            <w:r>
              <w:rPr>
                <w:rFonts w:ascii="宋体" w:hAnsi="宋体" w:cs="宋体"/>
                <w:color w:val="000000"/>
                <w:szCs w:val="21"/>
              </w:rPr>
              <w:t>(</w:t>
            </w:r>
            <w:r>
              <w:rPr>
                <w:rFonts w:hint="eastAsia" w:ascii="宋体" w:hAnsi="宋体" w:cs="宋体"/>
                <w:color w:val="000000"/>
                <w:szCs w:val="21"/>
              </w:rPr>
              <w:t>盖章</w:t>
            </w:r>
            <w:r>
              <w:rPr>
                <w:rFonts w:ascii="宋体" w:hAnsi="宋体" w:cs="宋体"/>
                <w:color w:val="000000"/>
                <w:szCs w:val="21"/>
              </w:rPr>
              <w:t>)</w:t>
            </w:r>
            <w:r>
              <w:rPr>
                <w:rFonts w:ascii="宋体" w:hAnsi="宋体"/>
                <w:color w:val="000000"/>
                <w:szCs w:val="21"/>
              </w:rPr>
              <w:t xml:space="preserve"> </w:t>
            </w:r>
          </w:p>
        </w:tc>
      </w:tr>
      <w:tr w14:paraId="581BFF53">
        <w:tblPrEx>
          <w:tblCellMar>
            <w:top w:w="0" w:type="dxa"/>
            <w:left w:w="108" w:type="dxa"/>
            <w:bottom w:w="0" w:type="dxa"/>
            <w:right w:w="108" w:type="dxa"/>
          </w:tblCellMar>
        </w:tblPrEx>
        <w:tc>
          <w:tcPr>
            <w:tcW w:w="4465" w:type="dxa"/>
            <w:shd w:val="clear" w:color="auto" w:fill="auto"/>
          </w:tcPr>
          <w:p w14:paraId="10C12F70">
            <w:pPr>
              <w:autoSpaceDE w:val="0"/>
              <w:autoSpaceDN w:val="0"/>
              <w:adjustRightInd w:val="0"/>
              <w:spacing w:line="500" w:lineRule="exact"/>
              <w:jc w:val="left"/>
              <w:rPr>
                <w:rFonts w:ascii="宋体" w:hAnsi="宋体" w:cs="宋体"/>
                <w:color w:val="000000"/>
                <w:szCs w:val="21"/>
              </w:rPr>
            </w:pPr>
            <w:r>
              <w:rPr>
                <w:rFonts w:hint="eastAsia" w:ascii="宋体" w:hAnsi="宋体" w:cs="宋体"/>
                <w:color w:val="000000"/>
                <w:szCs w:val="21"/>
              </w:rPr>
              <w:t>法定代表人或其委托代理人：</w:t>
            </w:r>
            <w:r>
              <w:rPr>
                <w:rFonts w:ascii="宋体" w:hAnsi="宋体" w:cs="宋体"/>
                <w:color w:val="000000"/>
                <w:szCs w:val="21"/>
              </w:rPr>
              <w:t xml:space="preserve">          </w:t>
            </w:r>
            <w:r>
              <w:rPr>
                <w:rFonts w:hint="eastAsia" w:ascii="宋体" w:hAnsi="宋体" w:cs="宋体"/>
                <w:color w:val="000000"/>
                <w:szCs w:val="21"/>
              </w:rPr>
              <w:t xml:space="preserve">      </w:t>
            </w:r>
            <w:r>
              <w:rPr>
                <w:rFonts w:ascii="宋体" w:hAnsi="宋体" w:cs="宋体"/>
                <w:color w:val="000000"/>
                <w:szCs w:val="21"/>
              </w:rPr>
              <w:t xml:space="preserve">  </w:t>
            </w:r>
          </w:p>
        </w:tc>
        <w:tc>
          <w:tcPr>
            <w:tcW w:w="4465" w:type="dxa"/>
            <w:shd w:val="clear" w:color="auto" w:fill="auto"/>
          </w:tcPr>
          <w:p w14:paraId="7B39E63A">
            <w:pPr>
              <w:autoSpaceDE w:val="0"/>
              <w:autoSpaceDN w:val="0"/>
              <w:adjustRightInd w:val="0"/>
              <w:spacing w:line="500" w:lineRule="exact"/>
              <w:jc w:val="left"/>
              <w:rPr>
                <w:rFonts w:ascii="宋体" w:hAnsi="宋体" w:cs="宋体"/>
                <w:color w:val="000000"/>
                <w:szCs w:val="21"/>
              </w:rPr>
            </w:pPr>
            <w:r>
              <w:rPr>
                <w:rFonts w:hint="eastAsia" w:ascii="宋体" w:hAnsi="宋体" w:cs="宋体"/>
                <w:color w:val="000000"/>
                <w:szCs w:val="21"/>
              </w:rPr>
              <w:t>法定代表人或其委托代理人：</w:t>
            </w:r>
          </w:p>
        </w:tc>
      </w:tr>
      <w:tr w14:paraId="5F09A001">
        <w:tblPrEx>
          <w:tblCellMar>
            <w:top w:w="0" w:type="dxa"/>
            <w:left w:w="108" w:type="dxa"/>
            <w:bottom w:w="0" w:type="dxa"/>
            <w:right w:w="108" w:type="dxa"/>
          </w:tblCellMar>
        </w:tblPrEx>
        <w:tc>
          <w:tcPr>
            <w:tcW w:w="4465" w:type="dxa"/>
            <w:shd w:val="clear" w:color="auto" w:fill="auto"/>
          </w:tcPr>
          <w:p w14:paraId="73630486">
            <w:pPr>
              <w:autoSpaceDE w:val="0"/>
              <w:autoSpaceDN w:val="0"/>
              <w:adjustRightInd w:val="0"/>
              <w:spacing w:line="500" w:lineRule="exact"/>
              <w:jc w:val="left"/>
              <w:rPr>
                <w:rFonts w:ascii="宋体" w:hAnsi="宋体" w:cs="宋体"/>
                <w:color w:val="000000"/>
                <w:szCs w:val="21"/>
              </w:rPr>
            </w:pPr>
            <w:r>
              <w:rPr>
                <w:rFonts w:ascii="宋体" w:hAnsi="宋体" w:cs="宋体"/>
                <w:color w:val="000000"/>
                <w:szCs w:val="21"/>
              </w:rPr>
              <w:t>(</w:t>
            </w:r>
            <w:r>
              <w:rPr>
                <w:rFonts w:hint="eastAsia" w:ascii="宋体" w:hAnsi="宋体" w:cs="宋体"/>
                <w:color w:val="000000"/>
                <w:szCs w:val="21"/>
              </w:rPr>
              <w:t>签字或盖章</w:t>
            </w:r>
            <w:r>
              <w:rPr>
                <w:rFonts w:ascii="宋体" w:hAnsi="宋体" w:cs="宋体"/>
                <w:color w:val="000000"/>
                <w:szCs w:val="21"/>
              </w:rPr>
              <w:t>)</w:t>
            </w:r>
          </w:p>
        </w:tc>
        <w:tc>
          <w:tcPr>
            <w:tcW w:w="4465" w:type="dxa"/>
            <w:shd w:val="clear" w:color="auto" w:fill="auto"/>
          </w:tcPr>
          <w:p w14:paraId="015210ED">
            <w:pPr>
              <w:autoSpaceDE w:val="0"/>
              <w:autoSpaceDN w:val="0"/>
              <w:adjustRightInd w:val="0"/>
              <w:spacing w:line="500" w:lineRule="exact"/>
              <w:jc w:val="left"/>
              <w:rPr>
                <w:rFonts w:ascii="宋体" w:hAnsi="宋体" w:cs="宋体"/>
                <w:color w:val="000000"/>
                <w:szCs w:val="21"/>
              </w:rPr>
            </w:pPr>
            <w:r>
              <w:rPr>
                <w:rFonts w:ascii="宋体" w:hAnsi="宋体" w:cs="宋体"/>
                <w:color w:val="000000"/>
                <w:szCs w:val="21"/>
              </w:rPr>
              <w:t>(</w:t>
            </w:r>
            <w:r>
              <w:rPr>
                <w:rFonts w:hint="eastAsia" w:ascii="宋体" w:hAnsi="宋体" w:cs="宋体"/>
                <w:color w:val="000000"/>
                <w:szCs w:val="21"/>
              </w:rPr>
              <w:t>签字或盖章</w:t>
            </w:r>
            <w:r>
              <w:rPr>
                <w:rFonts w:ascii="宋体" w:hAnsi="宋体" w:cs="宋体"/>
                <w:color w:val="000000"/>
                <w:szCs w:val="21"/>
              </w:rPr>
              <w:t>)</w:t>
            </w:r>
          </w:p>
        </w:tc>
      </w:tr>
      <w:tr w14:paraId="76B7EBE0">
        <w:tblPrEx>
          <w:tblCellMar>
            <w:top w:w="0" w:type="dxa"/>
            <w:left w:w="108" w:type="dxa"/>
            <w:bottom w:w="0" w:type="dxa"/>
            <w:right w:w="108" w:type="dxa"/>
          </w:tblCellMar>
        </w:tblPrEx>
        <w:tc>
          <w:tcPr>
            <w:tcW w:w="4465" w:type="dxa"/>
            <w:shd w:val="clear" w:color="auto" w:fill="auto"/>
          </w:tcPr>
          <w:p w14:paraId="6CA8B4D7">
            <w:pPr>
              <w:spacing w:line="500" w:lineRule="exact"/>
              <w:jc w:val="left"/>
              <w:rPr>
                <w:szCs w:val="21"/>
              </w:rPr>
            </w:pPr>
            <w:r>
              <w:rPr>
                <w:rFonts w:hint="eastAsia"/>
                <w:szCs w:val="21"/>
              </w:rPr>
              <w:t>签约日期：</w:t>
            </w:r>
            <w:r>
              <w:rPr>
                <w:rFonts w:hint="eastAsia"/>
                <w:szCs w:val="21"/>
                <w:lang w:eastAsia="zh-CN"/>
              </w:rPr>
              <w:t>2026年</w:t>
            </w:r>
            <w:r>
              <w:rPr>
                <w:rFonts w:hint="eastAsia"/>
                <w:szCs w:val="21"/>
              </w:rPr>
              <w:t xml:space="preserve">  </w:t>
            </w:r>
            <w:r>
              <w:rPr>
                <w:rFonts w:hint="eastAsia"/>
                <w:szCs w:val="21"/>
                <w:lang w:val="en-US" w:eastAsia="zh-CN"/>
              </w:rPr>
              <w:t xml:space="preserve">  </w:t>
            </w:r>
            <w:r>
              <w:rPr>
                <w:rFonts w:hint="eastAsia"/>
                <w:szCs w:val="21"/>
              </w:rPr>
              <w:t xml:space="preserve">月 </w:t>
            </w:r>
            <w:r>
              <w:rPr>
                <w:rFonts w:hint="eastAsia"/>
                <w:szCs w:val="21"/>
                <w:lang w:val="en-US" w:eastAsia="zh-CN"/>
              </w:rPr>
              <w:t xml:space="preserve"> </w:t>
            </w:r>
            <w:r>
              <w:rPr>
                <w:rFonts w:hint="eastAsia"/>
                <w:szCs w:val="21"/>
              </w:rPr>
              <w:t xml:space="preserve">  日 </w:t>
            </w:r>
          </w:p>
        </w:tc>
        <w:tc>
          <w:tcPr>
            <w:tcW w:w="4465" w:type="dxa"/>
            <w:shd w:val="clear" w:color="auto" w:fill="auto"/>
          </w:tcPr>
          <w:p w14:paraId="6F4AFF49">
            <w:pPr>
              <w:spacing w:line="500" w:lineRule="exact"/>
              <w:jc w:val="left"/>
              <w:rPr>
                <w:szCs w:val="21"/>
              </w:rPr>
            </w:pPr>
            <w:r>
              <w:rPr>
                <w:rFonts w:hint="eastAsia"/>
                <w:szCs w:val="21"/>
              </w:rPr>
              <w:t>签约日期：</w:t>
            </w:r>
            <w:r>
              <w:rPr>
                <w:rFonts w:hint="eastAsia"/>
                <w:szCs w:val="21"/>
                <w:lang w:eastAsia="zh-CN"/>
              </w:rPr>
              <w:t>2026年</w:t>
            </w:r>
            <w:r>
              <w:rPr>
                <w:rFonts w:hint="eastAsia"/>
                <w:szCs w:val="21"/>
              </w:rPr>
              <w:t xml:space="preserve">  </w:t>
            </w:r>
            <w:r>
              <w:rPr>
                <w:rFonts w:hint="eastAsia"/>
                <w:szCs w:val="21"/>
                <w:lang w:val="en-US" w:eastAsia="zh-CN"/>
              </w:rPr>
              <w:t xml:space="preserve">  </w:t>
            </w:r>
            <w:r>
              <w:rPr>
                <w:rFonts w:hint="eastAsia"/>
                <w:szCs w:val="21"/>
              </w:rPr>
              <w:t xml:space="preserve">月  </w:t>
            </w:r>
            <w:r>
              <w:rPr>
                <w:rFonts w:hint="eastAsia"/>
                <w:szCs w:val="21"/>
                <w:lang w:val="en-US" w:eastAsia="zh-CN"/>
              </w:rPr>
              <w:t xml:space="preserve"> </w:t>
            </w:r>
            <w:r>
              <w:rPr>
                <w:rFonts w:hint="eastAsia"/>
                <w:szCs w:val="21"/>
              </w:rPr>
              <w:t xml:space="preserve"> 日</w:t>
            </w:r>
          </w:p>
        </w:tc>
      </w:tr>
      <w:permEnd w:id="50"/>
    </w:tbl>
    <w:p w14:paraId="08801F8A">
      <w:pPr>
        <w:spacing w:line="440" w:lineRule="exact"/>
        <w:jc w:val="center"/>
        <w:rPr>
          <w:rFonts w:asciiTheme="majorEastAsia" w:hAnsiTheme="majorEastAsia" w:eastAsiaTheme="majorEastAsia"/>
          <w:b/>
          <w:sz w:val="44"/>
          <w:szCs w:val="44"/>
        </w:rPr>
      </w:pPr>
      <w:r>
        <w:rPr>
          <w:rFonts w:asciiTheme="majorEastAsia" w:hAnsiTheme="majorEastAsia" w:eastAsiaTheme="majorEastAsia"/>
          <w:b/>
          <w:sz w:val="44"/>
          <w:szCs w:val="44"/>
        </w:rPr>
        <w:br w:type="page"/>
      </w:r>
    </w:p>
    <w:p w14:paraId="6FF1CC08">
      <w:pPr>
        <w:spacing w:line="4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廉政责任书</w:t>
      </w:r>
    </w:p>
    <w:p w14:paraId="37D559A5">
      <w:pPr>
        <w:spacing w:line="400" w:lineRule="exact"/>
        <w:ind w:left="1"/>
        <w:rPr>
          <w:rFonts w:ascii="仿宋_GB2312" w:hAnsi="宋体" w:eastAsia="仿宋_GB2312"/>
          <w:sz w:val="24"/>
        </w:rPr>
      </w:pPr>
    </w:p>
    <w:p w14:paraId="3C2FD298">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工程项目名称:</w:t>
      </w:r>
      <w:permStart w:id="51" w:edGrp="everyone"/>
      <w:r>
        <w:rPr>
          <w:rFonts w:hint="eastAsia" w:asciiTheme="minorEastAsia" w:hAnsiTheme="minorEastAsia" w:eastAsiaTheme="minorEastAsia"/>
          <w:color w:val="000000" w:themeColor="text1"/>
          <w:szCs w:val="21"/>
          <w14:textFill>
            <w14:solidFill>
              <w14:schemeClr w14:val="tx1"/>
            </w14:solidFill>
          </w14:textFill>
        </w:rPr>
        <w:t>新龙湖喷泉项目-水下电缆采购</w:t>
      </w:r>
      <w:r>
        <w:rPr>
          <w:rFonts w:cs="宋体" w:asciiTheme="minorEastAsia" w:hAnsiTheme="minorEastAsia" w:eastAsiaTheme="minorEastAsia"/>
          <w:color w:val="000000" w:themeColor="text1"/>
          <w:kern w:val="0"/>
          <w:szCs w:val="21"/>
          <w14:textFill>
            <w14:solidFill>
              <w14:schemeClr w14:val="tx1"/>
            </w14:solidFill>
          </w14:textFill>
        </w:rPr>
        <w:t xml:space="preserve">  </w:t>
      </w:r>
      <w:permEnd w:id="51"/>
    </w:p>
    <w:p w14:paraId="655C9F22">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工程项目地址:</w:t>
      </w:r>
      <w:permStart w:id="52" w:edGrp="everyone"/>
      <w:r>
        <w:rPr>
          <w:rFonts w:hint="eastAsia" w:asciiTheme="minorEastAsia" w:hAnsiTheme="minorEastAsia" w:eastAsiaTheme="minorEastAsia"/>
          <w:color w:val="000000" w:themeColor="text1"/>
          <w:szCs w:val="21"/>
          <w:lang w:val="en-US" w:eastAsia="zh-CN"/>
          <w14:textFill>
            <w14:solidFill>
              <w14:schemeClr w14:val="tx1"/>
            </w14:solidFill>
          </w14:textFill>
        </w:rPr>
        <w:t>常州市新北区新龙湖音乐公园</w:t>
      </w:r>
      <w:r>
        <w:rPr>
          <w:rFonts w:cs="宋体" w:asciiTheme="minorEastAsia" w:hAnsiTheme="minorEastAsia" w:eastAsiaTheme="minorEastAsia"/>
          <w:color w:val="000000" w:themeColor="text1"/>
          <w:kern w:val="0"/>
          <w:szCs w:val="21"/>
          <w14:textFill>
            <w14:solidFill>
              <w14:schemeClr w14:val="tx1"/>
            </w14:solidFill>
          </w14:textFill>
        </w:rPr>
        <w:t xml:space="preserve">  </w:t>
      </w:r>
      <w:permEnd w:id="52"/>
    </w:p>
    <w:p w14:paraId="30DEF219">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需方〔以下简称甲方）:  </w:t>
      </w:r>
      <w:permStart w:id="53" w:edGrp="everyone"/>
      <w:r>
        <w:rPr>
          <w:rFonts w:hint="eastAsia" w:asciiTheme="minorEastAsia" w:hAnsiTheme="minorEastAsia" w:eastAsiaTheme="minorEastAsia"/>
          <w:color w:val="000000" w:themeColor="text1"/>
          <w:szCs w:val="21"/>
          <w:lang w:val="en-US" w:eastAsia="zh-CN"/>
          <w14:textFill>
            <w14:solidFill>
              <w14:schemeClr w14:val="tx1"/>
            </w14:solidFill>
          </w14:textFill>
        </w:rPr>
        <w:t>常州黑牡丹建设投资有限公司</w:t>
      </w:r>
      <w:r>
        <w:rPr>
          <w:rFonts w:cs="宋体" w:asciiTheme="minorEastAsia" w:hAnsiTheme="minorEastAsia" w:eastAsiaTheme="minorEastAsia"/>
          <w:color w:val="000000" w:themeColor="text1"/>
          <w:kern w:val="0"/>
          <w:szCs w:val="21"/>
          <w14:textFill>
            <w14:solidFill>
              <w14:schemeClr w14:val="tx1"/>
            </w14:solidFill>
          </w14:textFill>
        </w:rPr>
        <w:t xml:space="preserve">  </w:t>
      </w:r>
      <w:permEnd w:id="53"/>
    </w:p>
    <w:p w14:paraId="6F75998F">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供方（以下简称乙方〕:  </w:t>
      </w:r>
      <w:permStart w:id="54" w:edGrp="everyone"/>
      <w:r>
        <w:rPr>
          <w:rFonts w:hint="eastAsia" w:asciiTheme="minorEastAsia" w:hAnsiTheme="minorEastAsia" w:eastAsiaTheme="minorEastAsia"/>
          <w:color w:val="000000" w:themeColor="text1"/>
          <w:szCs w:val="21"/>
          <w14:textFill>
            <w14:solidFill>
              <w14:schemeClr w14:val="tx1"/>
            </w14:solidFill>
          </w14:textFill>
        </w:rPr>
        <w:t xml:space="preserve"> </w:t>
      </w:r>
      <w:r>
        <w:rPr>
          <w:rFonts w:cs="宋体" w:asciiTheme="minorEastAsia" w:hAnsiTheme="minorEastAsia" w:eastAsiaTheme="minorEastAsia"/>
          <w:color w:val="000000" w:themeColor="text1"/>
          <w:kern w:val="0"/>
          <w:szCs w:val="21"/>
          <w14:textFill>
            <w14:solidFill>
              <w14:schemeClr w14:val="tx1"/>
            </w14:solidFill>
          </w14:textFill>
        </w:rPr>
        <w:t xml:space="preserve">                        </w:t>
      </w:r>
      <w:permEnd w:id="54"/>
    </w:p>
    <w:p w14:paraId="39EE3C4C">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为切实加强政府性投资工程廉政建设，强化对工程建设领域突出问题的治理，从源头上预防腐败，确保工程建设优质、高效、廉洁，依据工程建设的法律法规和廉政建设有关规定，特订立本责任书。</w:t>
      </w:r>
    </w:p>
    <w:p w14:paraId="42D26E30">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一、</w:t>
      </w:r>
      <w:r>
        <w:rPr>
          <w:rFonts w:hint="eastAsia" w:asciiTheme="minorEastAsia" w:hAnsiTheme="minorEastAsia" w:eastAsiaTheme="minorEastAsia"/>
          <w:color w:val="000000" w:themeColor="text1"/>
          <w:szCs w:val="21"/>
          <w14:textFill>
            <w14:solidFill>
              <w14:schemeClr w14:val="tx1"/>
            </w14:solidFill>
          </w14:textFill>
        </w:rPr>
        <w:t>甲乙双方责任</w:t>
      </w:r>
    </w:p>
    <w:p w14:paraId="1E211DFB">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1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㈠</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严格遵守国家、省、市、区关于工程建设的各项法律规章和廉政建设的各项规定。</w:t>
      </w:r>
    </w:p>
    <w:p w14:paraId="084A31B9">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2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㈡</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业务活动应坚持公开、公平、公正和诚实守信原则，不得为获取不正当利益而损害国家、集体利益。</w:t>
      </w:r>
    </w:p>
    <w:p w14:paraId="2679FC72">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3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㈢</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加强对本方人员的廉政监督，建立健全廉政工作制度，认真查处本方人员的违纪违法行为。</w:t>
      </w:r>
    </w:p>
    <w:p w14:paraId="44C413D3">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4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㈣</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双方均有对本方人员开展廉政告知、廉政教育以及诚实守信教育的责任和义务。</w:t>
      </w:r>
    </w:p>
    <w:p w14:paraId="154113CE">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5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㈤</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发现对方在业务活动中有违法违规行为的，应及时提醒，自觉抵制，或及时向上级主管部门、纪检监察和司法机关举报。</w:t>
      </w:r>
    </w:p>
    <w:p w14:paraId="32932F8B">
      <w:pPr>
        <w:spacing w:line="500" w:lineRule="exact"/>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二、甲方责任</w:t>
      </w:r>
    </w:p>
    <w:p w14:paraId="0DB9EDFD">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1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㈠</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甲方人员不得接受或索要乙方的回扣、礼金、有价证券、贵重物品和好处费、感谢费等。</w:t>
      </w:r>
    </w:p>
    <w:p w14:paraId="0BD2FF39">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2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㈡</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甲方人员不得到乙方报销应由甲方或个人支付的费用。</w:t>
      </w:r>
    </w:p>
    <w:p w14:paraId="2CF2195E">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3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㈢</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甲方人员不得参加可能对公正执行公务有影响的宴请和娱乐活动。</w:t>
      </w:r>
    </w:p>
    <w:p w14:paraId="2A9EC92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4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㈣</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甲方人员不得要求或接受乙方为其住房装修、婚丧嫁娶、家属和子女就业、旅游以及出国（境）等提供方便。</w:t>
      </w:r>
    </w:p>
    <w:p w14:paraId="61642C19">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5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㈤</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甲方人员不得向乙方介绍家属或亲友从事与甲方工程有关的材料设备供应、工程分包等经济活动。</w:t>
      </w:r>
    </w:p>
    <w:p w14:paraId="1002B78B">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6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㈥</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甲方人员不得以任何理由向乙方强行推荐分包单位，不得强行要求乙方购买合同规定以外的材料和设备。</w:t>
      </w:r>
    </w:p>
    <w:p w14:paraId="676DA3E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7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㈦</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自觉接受乙方的监督，不得以任何形式和理由对乙方及其人员的投诉举报行为进行打击报复。</w:t>
      </w:r>
    </w:p>
    <w:p w14:paraId="11C4B6DA">
      <w:pPr>
        <w:spacing w:line="500" w:lineRule="exact"/>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三、乙方责任</w:t>
      </w:r>
    </w:p>
    <w:p w14:paraId="7581986F">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1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㈠</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不得以任何形式和理由向甲方人员赠送礼金、有价证券、贵重物品和回扣、好处费、感谢费等。</w:t>
      </w:r>
    </w:p>
    <w:p w14:paraId="3D92D160">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2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㈡</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不得以洽谈业务等为借口，邀请甲方人员外出考察旅游或进入高档消费娱乐场所。</w:t>
      </w:r>
    </w:p>
    <w:p w14:paraId="490977B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3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㈢</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不得为甲方及其人员报销应由对方支付的费用，或为甲方及其人员提供通讯工具、交通工具、高档办公用品等物品。</w:t>
      </w:r>
    </w:p>
    <w:p w14:paraId="6E073BA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4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㈣</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不得擅自与甲方人员就工程承包、工程费用、材料设备供应、工程量变更、工程验收以及工程质量问题处理等进行私下商谈或达成默契。</w:t>
      </w:r>
    </w:p>
    <w:p w14:paraId="503B80D5">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5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㈤</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自觉接受甲方监督。</w:t>
      </w:r>
    </w:p>
    <w:p w14:paraId="7E7C813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四、违约责任</w:t>
      </w:r>
    </w:p>
    <w:p w14:paraId="6255AAD4">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1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㈠</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14:paraId="1D0333C7">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2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㈡</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14:paraId="298E1207">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五、本责任书作为本合同的附件，与本合同具有同等法律效力。</w:t>
      </w:r>
    </w:p>
    <w:p w14:paraId="5AF0EBEE">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六、本责任书一式四份，由甲乙双方、监督单位（甲方上级行政主管部门）各执一份，区“廉洁示范工程”创建活动领导小组办公室鉴证备案一份。</w:t>
      </w:r>
    </w:p>
    <w:p w14:paraId="751151C4">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p>
    <w:p w14:paraId="7A74A920">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甲方单位：（盖章）                乙方单位：（盖章）</w:t>
      </w:r>
    </w:p>
    <w:p w14:paraId="7F80DB9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法定代表人：                     法定代表人：</w:t>
      </w:r>
    </w:p>
    <w:p w14:paraId="6CCB433F">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permStart w:id="55" w:edGrp="everyone"/>
      <w:r>
        <w:rPr>
          <w:rFonts w:hint="eastAsia" w:asciiTheme="minorEastAsia" w:hAnsiTheme="minorEastAsia" w:eastAsiaTheme="minorEastAsia"/>
          <w:color w:val="000000" w:themeColor="text1"/>
          <w:szCs w:val="21"/>
          <w14:textFill>
            <w14:solidFill>
              <w14:schemeClr w14:val="tx1"/>
            </w14:solidFill>
          </w14:textFill>
        </w:rPr>
        <w:t xml:space="preserve"> </w:t>
      </w:r>
      <w:r>
        <w:rPr>
          <w:rFonts w:cs="宋体" w:asciiTheme="minorEastAsia" w:hAnsiTheme="minorEastAsia" w:eastAsiaTheme="minorEastAsia"/>
          <w:color w:val="000000" w:themeColor="text1"/>
          <w:kern w:val="0"/>
          <w:szCs w:val="21"/>
          <w14:textFill>
            <w14:solidFill>
              <w14:schemeClr w14:val="tx1"/>
            </w14:solidFill>
          </w14:textFill>
        </w:rPr>
        <w:t xml:space="preserve">   202</w:t>
      </w: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6</w:t>
      </w:r>
      <w:r>
        <w:rPr>
          <w:rFonts w:hint="eastAsia" w:asciiTheme="minorEastAsia" w:hAnsiTheme="minorEastAsia" w:eastAsiaTheme="minorEastAsia"/>
          <w:color w:val="000000" w:themeColor="text1"/>
          <w:szCs w:val="21"/>
          <w14:textFill>
            <w14:solidFill>
              <w14:schemeClr w14:val="tx1"/>
            </w14:solidFill>
          </w14:textFill>
        </w:rPr>
        <w:t xml:space="preserve">年 </w:t>
      </w:r>
      <w:r>
        <w:rPr>
          <w:rFonts w:cs="宋体" w:asciiTheme="minorEastAsia" w:hAnsiTheme="minorEastAsia" w:eastAsiaTheme="minorEastAsia"/>
          <w:color w:val="000000" w:themeColor="text1"/>
          <w:kern w:val="0"/>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月 </w:t>
      </w:r>
      <w:r>
        <w:rPr>
          <w:rFonts w:cs="宋体" w:asciiTheme="minorEastAsia" w:hAnsiTheme="minorEastAsia" w:eastAsiaTheme="minorEastAsia"/>
          <w:color w:val="000000" w:themeColor="text1"/>
          <w:kern w:val="0"/>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w:t>
      </w:r>
      <w:permEnd w:id="55"/>
      <w:r>
        <w:rPr>
          <w:rFonts w:hint="eastAsia" w:asciiTheme="minorEastAsia" w:hAnsiTheme="minorEastAsia" w:eastAsiaTheme="minorEastAsia"/>
          <w:color w:val="000000" w:themeColor="text1"/>
          <w:szCs w:val="21"/>
          <w14:textFill>
            <w14:solidFill>
              <w14:schemeClr w14:val="tx1"/>
            </w14:solidFill>
          </w14:textFill>
        </w:rPr>
        <w:t xml:space="preserve">                    </w:t>
      </w:r>
      <w:permStart w:id="56" w:edGrp="everyone"/>
      <w:r>
        <w:rPr>
          <w:rFonts w:hint="eastAsia" w:asciiTheme="minorEastAsia" w:hAnsiTheme="minorEastAsia" w:eastAsiaTheme="minorEastAsia"/>
          <w:color w:val="000000" w:themeColor="text1"/>
          <w:szCs w:val="21"/>
          <w14:textFill>
            <w14:solidFill>
              <w14:schemeClr w14:val="tx1"/>
            </w14:solidFill>
          </w14:textFill>
        </w:rPr>
        <w:t xml:space="preserve"> </w:t>
      </w:r>
      <w:r>
        <w:rPr>
          <w:rFonts w:cs="宋体" w:asciiTheme="minorEastAsia" w:hAnsiTheme="minorEastAsia" w:eastAsiaTheme="minorEastAsia"/>
          <w:color w:val="000000" w:themeColor="text1"/>
          <w:kern w:val="0"/>
          <w:szCs w:val="21"/>
          <w14:textFill>
            <w14:solidFill>
              <w14:schemeClr w14:val="tx1"/>
            </w14:solidFill>
          </w14:textFill>
        </w:rPr>
        <w:t xml:space="preserve">    </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2026年</w:t>
      </w:r>
      <w:r>
        <w:rPr>
          <w:rFonts w:cs="宋体" w:asciiTheme="minorEastAsia" w:hAnsiTheme="minorEastAsia" w:eastAsiaTheme="minorEastAsia"/>
          <w:color w:val="000000" w:themeColor="text1"/>
          <w:kern w:val="0"/>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月 </w:t>
      </w:r>
      <w:r>
        <w:rPr>
          <w:rFonts w:cs="宋体" w:asciiTheme="minorEastAsia" w:hAnsiTheme="minorEastAsia" w:eastAsiaTheme="minorEastAsia"/>
          <w:color w:val="000000" w:themeColor="text1"/>
          <w:kern w:val="0"/>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w:t>
      </w:r>
      <w:permEnd w:id="56"/>
    </w:p>
    <w:p w14:paraId="30917FB8">
      <w:pPr>
        <w:spacing w:line="400" w:lineRule="exact"/>
        <w:rPr>
          <w:rFonts w:ascii="仿宋_GB2312" w:eastAsia="仿宋_GB2312"/>
          <w:sz w:val="24"/>
          <w:szCs w:val="28"/>
        </w:rPr>
      </w:pPr>
    </w:p>
    <w:p w14:paraId="2701E565">
      <w:pPr>
        <w:spacing w:before="312" w:beforeLines="100" w:after="312" w:afterLines="100" w:line="400" w:lineRule="exact"/>
        <w:ind w:right="420"/>
        <w:jc w:val="center"/>
        <w:rPr>
          <w:rFonts w:asciiTheme="majorEastAsia" w:hAnsiTheme="majorEastAsia" w:eastAsiaTheme="majorEastAsia"/>
          <w:sz w:val="44"/>
          <w:szCs w:val="44"/>
        </w:rPr>
      </w:pPr>
      <w:r>
        <w:rPr>
          <w:rFonts w:ascii="仿宋_GB2312" w:eastAsia="仿宋_GB2312"/>
          <w:sz w:val="24"/>
          <w:szCs w:val="28"/>
        </w:rPr>
        <w:br w:type="page"/>
      </w:r>
      <w:r>
        <w:rPr>
          <w:rFonts w:hint="eastAsia" w:asciiTheme="majorEastAsia" w:hAnsiTheme="majorEastAsia" w:eastAsiaTheme="majorEastAsia"/>
          <w:b/>
          <w:bCs/>
          <w:sz w:val="44"/>
          <w:szCs w:val="44"/>
        </w:rPr>
        <w:t>廉洁守信承诺书</w:t>
      </w:r>
    </w:p>
    <w:p w14:paraId="5FAD75B1">
      <w:pPr>
        <w:spacing w:line="400" w:lineRule="exact"/>
        <w:ind w:firstLine="480" w:firstLineChars="200"/>
        <w:rPr>
          <w:rFonts w:ascii="仿宋_GB2312" w:eastAsia="仿宋_GB2312"/>
          <w:sz w:val="24"/>
          <w:szCs w:val="28"/>
        </w:rPr>
      </w:pPr>
    </w:p>
    <w:p w14:paraId="4BE07C96">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为加强工程廉政建设，规范工程建设行为，有效预防违纪违法问题的发生，在此我向组织承诺：</w:t>
      </w:r>
    </w:p>
    <w:p w14:paraId="58CF23AD">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1、严格遵守国家、省、市、区关于工程建设的各项法律规章和廉政建设的各项规定。</w:t>
      </w:r>
    </w:p>
    <w:p w14:paraId="2FE70CAD">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2、加强对各参建单位履约监管，建立完善信用信息互认共享、守信激励和失信惩戒等机制，促进工程建设领域诚信体系建设，引导企业诚实守信，不断增强市场主体的诚信意识。</w:t>
      </w:r>
    </w:p>
    <w:p w14:paraId="47603C36">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3、不接受或索要各参建单位的回扣、礼金、有价证券、贵重物品和好处费、感谢费等。</w:t>
      </w:r>
    </w:p>
    <w:p w14:paraId="362C521D">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4、不到各参建单位报销应由个人支付的费用。</w:t>
      </w:r>
    </w:p>
    <w:p w14:paraId="50F798CB">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5、不参加可能对公正执行公务有影响的宴请和娱乐活动。</w:t>
      </w:r>
    </w:p>
    <w:p w14:paraId="00A5AF28">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 不要求或接受各参建单位为本人住房装修、婚丧嫁娶、家属和子女就业、旅游以及出国（境）等提供方便。</w:t>
      </w:r>
    </w:p>
    <w:p w14:paraId="70EBA50A">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7、不向施工单位介绍家属或亲友从事与工程有关的材料设备供应、工程分包等经济活动。</w:t>
      </w:r>
    </w:p>
    <w:p w14:paraId="6ECDDBF8">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8、不以任何理由向施工单位强行推荐分包单位，或强行要求施工单位购买合同规定以外的材料和设备。</w:t>
      </w:r>
    </w:p>
    <w:p w14:paraId="01BF27A4">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9、不以任何形式和理由对各参建单位及其人员的投诉举报行为进行打击报复。</w:t>
      </w:r>
    </w:p>
    <w:p w14:paraId="4F2C3EB3">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10、自觉接受各方监督，如有不廉洁行为，自愿接受处理。</w:t>
      </w:r>
    </w:p>
    <w:p w14:paraId="7CFC2F72">
      <w:pPr>
        <w:spacing w:line="500" w:lineRule="exact"/>
        <w:ind w:firstLine="2940" w:firstLineChars="1400"/>
        <w:jc w:val="left"/>
        <w:rPr>
          <w:rFonts w:asciiTheme="minorEastAsia" w:hAnsiTheme="minorEastAsia" w:eastAsiaTheme="minorEastAsia"/>
          <w:szCs w:val="21"/>
        </w:rPr>
      </w:pPr>
    </w:p>
    <w:p w14:paraId="203E983A">
      <w:pPr>
        <w:spacing w:line="500" w:lineRule="exact"/>
        <w:ind w:firstLine="2940" w:firstLineChars="1400"/>
        <w:jc w:val="left"/>
        <w:rPr>
          <w:rFonts w:asciiTheme="minorEastAsia" w:hAnsiTheme="minorEastAsia" w:eastAsiaTheme="minorEastAsia"/>
          <w:szCs w:val="21"/>
        </w:rPr>
      </w:pPr>
    </w:p>
    <w:p w14:paraId="13E8B207">
      <w:pPr>
        <w:spacing w:line="500" w:lineRule="exact"/>
        <w:ind w:firstLine="5250" w:firstLineChars="2500"/>
        <w:jc w:val="left"/>
        <w:rPr>
          <w:rFonts w:asciiTheme="minorEastAsia" w:hAnsiTheme="minorEastAsia" w:eastAsiaTheme="minorEastAsia"/>
          <w:szCs w:val="21"/>
        </w:rPr>
      </w:pPr>
      <w:r>
        <w:rPr>
          <w:rFonts w:hint="eastAsia" w:asciiTheme="minorEastAsia" w:hAnsiTheme="minorEastAsia" w:eastAsiaTheme="minorEastAsia"/>
          <w:szCs w:val="21"/>
        </w:rPr>
        <w:t>承诺人：</w:t>
      </w:r>
      <w:permStart w:id="57" w:edGrp="everyone"/>
      <w:r>
        <w:t xml:space="preserve"> </w:t>
      </w:r>
      <w:r>
        <w:rPr>
          <w:rFonts w:hint="eastAsia" w:asciiTheme="minorEastAsia" w:hAnsiTheme="minorEastAsia" w:eastAsiaTheme="minorEastAsia"/>
          <w:szCs w:val="21"/>
        </w:rPr>
        <w:t xml:space="preserve">       </w:t>
      </w:r>
      <w:permEnd w:id="57"/>
    </w:p>
    <w:p w14:paraId="114FFB7C">
      <w:pPr>
        <w:spacing w:line="500" w:lineRule="exact"/>
        <w:ind w:firstLine="2940" w:firstLineChars="1400"/>
        <w:jc w:val="left"/>
        <w:rPr>
          <w:rFonts w:asciiTheme="minorEastAsia" w:hAnsiTheme="minorEastAsia" w:eastAsiaTheme="minorEastAsia"/>
          <w:szCs w:val="21"/>
        </w:rPr>
      </w:pPr>
    </w:p>
    <w:p w14:paraId="5D2338BC">
      <w:pPr>
        <w:spacing w:line="500" w:lineRule="exact"/>
        <w:ind w:firstLine="2940" w:firstLineChars="1400"/>
        <w:jc w:val="left"/>
        <w:rPr>
          <w:rFonts w:asciiTheme="minorEastAsia" w:hAnsiTheme="minorEastAsia" w:eastAsiaTheme="minorEastAsia"/>
          <w:szCs w:val="21"/>
        </w:rPr>
      </w:pPr>
    </w:p>
    <w:p w14:paraId="01101B43">
      <w:pPr>
        <w:autoSpaceDE w:val="0"/>
        <w:autoSpaceDN w:val="0"/>
        <w:adjustRightInd w:val="0"/>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 xml:space="preserve">  </w:t>
      </w:r>
      <w:permStart w:id="58" w:edGrp="everyone"/>
      <w:r>
        <w:rPr>
          <w:rFonts w:hint="eastAsia" w:asciiTheme="minorEastAsia" w:hAnsiTheme="minorEastAsia" w:eastAsiaTheme="minorEastAsia"/>
          <w:b/>
          <w:szCs w:val="21"/>
        </w:rPr>
        <w:t xml:space="preserve"> </w:t>
      </w:r>
      <w:r>
        <w:rPr>
          <w:rFonts w:hint="eastAsia" w:asciiTheme="minorEastAsia" w:hAnsiTheme="minorEastAsia" w:eastAsiaTheme="minorEastAsia"/>
          <w:b/>
          <w:szCs w:val="21"/>
          <w:lang w:val="en-US" w:eastAsia="zh-CN"/>
        </w:rPr>
        <w:t xml:space="preserve">                                    </w:t>
      </w:r>
      <w:r>
        <w:rPr>
          <w:rFonts w:hint="eastAsia" w:eastAsiaTheme="minorEastAsia"/>
          <w:lang w:val="en-US" w:eastAsia="zh-CN"/>
        </w:rPr>
        <w:t>2026</w:t>
      </w:r>
      <w:r>
        <w:rPr>
          <w:rFonts w:hint="eastAsia" w:asciiTheme="minorEastAsia" w:hAnsiTheme="minorEastAsia" w:eastAsiaTheme="minorEastAsia"/>
          <w:szCs w:val="21"/>
        </w:rPr>
        <w:t>年</w:t>
      </w:r>
      <w:r>
        <w:rPr>
          <w:rFonts w:hint="eastAsia" w:asciiTheme="minorEastAsia" w:hAnsiTheme="minorEastAsia" w:eastAsiaTheme="minorEastAsia"/>
          <w:b/>
          <w:szCs w:val="21"/>
        </w:rPr>
        <w:t xml:space="preserve"> </w:t>
      </w:r>
      <w:r>
        <w:t xml:space="preserve"> </w:t>
      </w:r>
      <w:r>
        <w:rPr>
          <w:rFonts w:hint="eastAsia" w:asciiTheme="minorEastAsia" w:hAnsiTheme="minorEastAsia" w:eastAsiaTheme="minorEastAsia"/>
          <w:szCs w:val="21"/>
        </w:rPr>
        <w:t>月</w:t>
      </w:r>
      <w:r>
        <w:rPr>
          <w:rFonts w:hint="eastAsia" w:asciiTheme="minorEastAsia" w:hAnsiTheme="minorEastAsia" w:eastAsiaTheme="minorEastAsia"/>
          <w:b/>
          <w:szCs w:val="21"/>
        </w:rPr>
        <w:t xml:space="preserve"> </w:t>
      </w:r>
      <w:r>
        <w:t xml:space="preserve"> </w:t>
      </w:r>
      <w:r>
        <w:rPr>
          <w:rFonts w:hint="eastAsia" w:asciiTheme="minorEastAsia" w:hAnsiTheme="minorEastAsia" w:eastAsiaTheme="minorEastAsia"/>
          <w:szCs w:val="21"/>
        </w:rPr>
        <w:t>日</w:t>
      </w:r>
    </w:p>
    <w:p w14:paraId="6C6B0A98">
      <w:pPr>
        <w:keepNext w:val="0"/>
        <w:keepLines w:val="0"/>
        <w:pageBreakBefore/>
        <w:widowControl w:val="0"/>
        <w:kinsoku/>
        <w:wordWrap/>
        <w:overflowPunct/>
        <w:topLinePunct w:val="0"/>
        <w:autoSpaceDE w:val="0"/>
        <w:autoSpaceDN w:val="0"/>
        <w:bidi w:val="0"/>
        <w:adjustRightInd w:val="0"/>
        <w:snapToGrid/>
        <w:spacing w:line="500" w:lineRule="exact"/>
        <w:jc w:val="center"/>
        <w:textAlignment w:val="auto"/>
        <w:rPr>
          <w:rFonts w:ascii="宋体" w:hAnsi="宋体" w:cs="宋体"/>
          <w:b/>
          <w:sz w:val="44"/>
          <w:szCs w:val="44"/>
          <w:lang w:val="zh-CN"/>
        </w:rPr>
      </w:pPr>
      <w:r>
        <w:rPr>
          <w:rFonts w:hint="eastAsia" w:ascii="宋体" w:hAnsi="宋体" w:cs="宋体"/>
          <w:b/>
          <w:color w:val="000000"/>
          <w:sz w:val="44"/>
          <w:szCs w:val="44"/>
        </w:rPr>
        <w:t>安全生产管理协议书</w:t>
      </w:r>
    </w:p>
    <w:p w14:paraId="4012FC0B">
      <w:pPr>
        <w:autoSpaceDE w:val="0"/>
        <w:autoSpaceDN w:val="0"/>
        <w:adjustRightInd w:val="0"/>
        <w:spacing w:line="500" w:lineRule="exact"/>
        <w:rPr>
          <w:rFonts w:ascii="宋体" w:hAnsi="宋体" w:cs="宋体"/>
          <w:sz w:val="24"/>
          <w:lang w:val="zh-CN"/>
        </w:rPr>
      </w:pPr>
      <w:r>
        <w:rPr>
          <w:rFonts w:hint="eastAsia" w:ascii="宋体" w:hAnsi="宋体" w:cs="宋体"/>
          <w:color w:val="000000"/>
          <w:sz w:val="28"/>
          <w:szCs w:val="28"/>
        </w:rPr>
        <w:t xml:space="preserve">                                                               </w:t>
      </w:r>
    </w:p>
    <w:p w14:paraId="7C4EC9F8">
      <w:pPr>
        <w:autoSpaceDE w:val="0"/>
        <w:autoSpaceDN w:val="0"/>
        <w:adjustRightInd w:val="0"/>
        <w:spacing w:line="500" w:lineRule="exact"/>
        <w:rPr>
          <w:rFonts w:ascii="宋体" w:hAnsi="宋体" w:cs="宋体"/>
          <w:szCs w:val="21"/>
          <w:lang w:val="zh-CN"/>
        </w:rPr>
      </w:pPr>
      <w:r>
        <w:rPr>
          <w:rFonts w:hint="eastAsia" w:ascii="宋体" w:hAnsi="宋体" w:cs="宋体"/>
          <w:color w:val="000000"/>
          <w:szCs w:val="21"/>
        </w:rPr>
        <w:t>需方</w:t>
      </w:r>
      <w:r>
        <w:rPr>
          <w:rFonts w:hint="eastAsia" w:ascii="宋体" w:hAnsi="宋体"/>
          <w:szCs w:val="21"/>
        </w:rPr>
        <w:t>（以下简称甲方）</w:t>
      </w:r>
      <w:r>
        <w:rPr>
          <w:rFonts w:hint="eastAsia" w:ascii="宋体" w:hAnsi="宋体" w:cs="宋体"/>
          <w:color w:val="000000"/>
          <w:szCs w:val="21"/>
        </w:rPr>
        <w:t>：</w:t>
      </w:r>
      <w:r>
        <w:rPr>
          <w:rFonts w:hint="eastAsia" w:ascii="宋体" w:hAnsi="宋体"/>
          <w:szCs w:val="21"/>
          <w:lang w:val="en-US" w:eastAsia="zh-CN"/>
        </w:rPr>
        <w:t>常州黑牡丹建设投资有限公司</w:t>
      </w:r>
      <w:r>
        <w:rPr>
          <w:rFonts w:hint="eastAsia"/>
        </w:rPr>
        <w:t xml:space="preserve">   </w:t>
      </w:r>
    </w:p>
    <w:p w14:paraId="2BC56A1B">
      <w:pPr>
        <w:autoSpaceDE w:val="0"/>
        <w:autoSpaceDN w:val="0"/>
        <w:adjustRightInd w:val="0"/>
        <w:spacing w:line="500" w:lineRule="exact"/>
        <w:rPr>
          <w:rFonts w:ascii="宋体" w:hAnsi="宋体" w:cs="宋体"/>
          <w:color w:val="000000"/>
          <w:szCs w:val="21"/>
        </w:rPr>
      </w:pPr>
      <w:r>
        <w:rPr>
          <w:rFonts w:hint="eastAsia" w:ascii="宋体" w:hAnsi="宋体" w:cs="宋体"/>
          <w:color w:val="000000"/>
          <w:szCs w:val="21"/>
        </w:rPr>
        <w:t>供方</w:t>
      </w:r>
      <w:r>
        <w:rPr>
          <w:rFonts w:hint="eastAsia" w:ascii="宋体" w:hAnsi="宋体"/>
          <w:szCs w:val="21"/>
        </w:rPr>
        <w:t>（以下简称乙方）</w:t>
      </w:r>
      <w:r>
        <w:rPr>
          <w:rFonts w:hint="eastAsia" w:ascii="宋体" w:hAnsi="宋体" w:cs="宋体"/>
          <w:color w:val="000000"/>
          <w:szCs w:val="21"/>
        </w:rPr>
        <w:t>：</w:t>
      </w:r>
      <w:r>
        <w:rPr>
          <w:rFonts w:hint="eastAsia" w:ascii="宋体" w:hAnsi="宋体" w:cs="仿宋"/>
          <w:kern w:val="0"/>
          <w:szCs w:val="21"/>
        </w:rPr>
        <w:t xml:space="preserve"> </w:t>
      </w:r>
      <w:r>
        <w:rPr>
          <w:rFonts w:hint="eastAsia"/>
        </w:rPr>
        <w:t xml:space="preserve"> </w:t>
      </w:r>
      <w:r>
        <w:rPr>
          <w:rFonts w:hint="eastAsia" w:ascii="宋体" w:hAnsi="宋体" w:cs="仿宋"/>
          <w:kern w:val="0"/>
          <w:szCs w:val="21"/>
        </w:rPr>
        <w:t xml:space="preserve"> </w:t>
      </w:r>
      <w:r>
        <w:rPr>
          <w:rFonts w:ascii="宋体" w:hAnsi="宋体" w:cs="仿宋"/>
          <w:kern w:val="0"/>
          <w:szCs w:val="21"/>
        </w:rPr>
        <w:t xml:space="preserve">          </w:t>
      </w:r>
      <w:r>
        <w:rPr>
          <w:rFonts w:hint="eastAsia" w:ascii="宋体" w:hAnsi="宋体" w:cs="仿宋"/>
          <w:kern w:val="0"/>
          <w:szCs w:val="21"/>
        </w:rPr>
        <w:t xml:space="preserve"> </w:t>
      </w:r>
    </w:p>
    <w:p w14:paraId="5902FF60">
      <w:pPr>
        <w:autoSpaceDE w:val="0"/>
        <w:autoSpaceDN w:val="0"/>
        <w:adjustRightInd w:val="0"/>
        <w:spacing w:line="500" w:lineRule="exact"/>
        <w:rPr>
          <w:rFonts w:ascii="宋体" w:hAnsi="宋体" w:cs="宋体"/>
          <w:szCs w:val="21"/>
          <w:lang w:val="zh-CN"/>
        </w:rPr>
      </w:pPr>
      <w:r>
        <w:rPr>
          <w:rFonts w:hint="eastAsia" w:ascii="宋体" w:hAnsi="宋体" w:cs="宋体"/>
          <w:color w:val="000000"/>
          <w:szCs w:val="21"/>
        </w:rPr>
        <w:t xml:space="preserve">                                       </w:t>
      </w:r>
    </w:p>
    <w:p w14:paraId="18A37D87">
      <w:pPr>
        <w:pStyle w:val="2"/>
        <w:tabs>
          <w:tab w:val="left" w:pos="2100"/>
        </w:tabs>
        <w:spacing w:line="440" w:lineRule="exact"/>
        <w:ind w:right="210" w:rightChars="100" w:firstLine="409"/>
        <w:rPr>
          <w:rFonts w:ascii="宋体" w:hAnsi="宋体" w:cs="宋体"/>
          <w:sz w:val="24"/>
        </w:rPr>
      </w:pPr>
      <w:r>
        <w:rPr>
          <w:rFonts w:hint="eastAsia" w:ascii="宋体" w:hAnsi="宋体" w:cs="宋体"/>
          <w:color w:val="000000" w:themeColor="text1"/>
          <w:szCs w:val="21"/>
          <w14:textFill>
            <w14:solidFill>
              <w14:schemeClr w14:val="tx1"/>
            </w14:solidFill>
          </w14:textFill>
        </w:rPr>
        <w:t xml:space="preserve">根据《中华人民共和国安全生产法》、《中华人民共和国民法典》等有关法律，在遵循平等、自愿、公平和诚实信用的原则下，甲乙双方就合同范围内且在项目部施工现场范围内安全事项协商一致，订立本合同，以资双方共同遵守。 </w:t>
      </w:r>
    </w:p>
    <w:p w14:paraId="6C13DE90">
      <w:pPr>
        <w:snapToGrid w:val="0"/>
        <w:spacing w:line="440" w:lineRule="exact"/>
        <w:ind w:firstLine="555"/>
        <w:rPr>
          <w:rFonts w:ascii="宋体" w:hAnsi="宋体" w:cs="宋体"/>
          <w:b/>
          <w:bCs/>
          <w:sz w:val="24"/>
        </w:rPr>
      </w:pPr>
      <w:r>
        <w:rPr>
          <w:rFonts w:hint="eastAsia" w:ascii="宋体" w:hAnsi="宋体" w:cs="宋体"/>
          <w:b/>
          <w:bCs/>
          <w:sz w:val="24"/>
        </w:rPr>
        <w:t xml:space="preserve">第一条 共同约定  </w:t>
      </w:r>
    </w:p>
    <w:p w14:paraId="6B86ABCF">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双方应共同遵守《中华人民共和国安全生产法》、《中华人民共和国民法典》等一系列有关安全生产的法律法规，严格执行建设部标准JGJ59—2011《建筑安全施工检查标准》等一系列标准规程及常州市有关安全生产的规章制度。</w:t>
      </w:r>
    </w:p>
    <w:p w14:paraId="519B32E4">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2、双方应共同遵守黑牡丹（股份）有限公司等一系列安全生产规章制度。贯彻执行项目职业健康安全和环境管理体系的各项要求。</w:t>
      </w:r>
    </w:p>
    <w:p w14:paraId="5650586A">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3、安全文明施工管理目标、指标：以项目部总包单位制定的为准。</w:t>
      </w:r>
    </w:p>
    <w:p w14:paraId="760AB5CC">
      <w:pPr>
        <w:spacing w:line="440" w:lineRule="exact"/>
        <w:ind w:firstLine="449" w:firstLineChars="214"/>
        <w:jc w:val="left"/>
        <w:rPr>
          <w:rFonts w:ascii="宋体" w:hAnsi="宋体" w:cs="宋体"/>
          <w:sz w:val="24"/>
        </w:rPr>
      </w:pPr>
      <w:r>
        <w:rPr>
          <w:rFonts w:hint="eastAsia" w:ascii="宋体" w:hAnsi="宋体" w:cs="宋体"/>
          <w:color w:val="000000" w:themeColor="text1"/>
          <w:szCs w:val="21"/>
          <w14:textFill>
            <w14:solidFill>
              <w14:schemeClr w14:val="tx1"/>
            </w14:solidFill>
          </w14:textFill>
        </w:rPr>
        <w:t>4、在甲方施工区域以外场所的安全工作及发生的不良后果由乙方自行承担。</w:t>
      </w:r>
    </w:p>
    <w:p w14:paraId="17FE2803">
      <w:pPr>
        <w:spacing w:line="440" w:lineRule="exact"/>
        <w:jc w:val="left"/>
        <w:rPr>
          <w:rFonts w:ascii="宋体" w:hAnsi="宋体" w:cs="宋体"/>
          <w:b/>
          <w:bCs/>
          <w:sz w:val="24"/>
        </w:rPr>
      </w:pPr>
      <w:r>
        <w:rPr>
          <w:rFonts w:hint="eastAsia" w:ascii="宋体" w:hAnsi="宋体" w:cs="宋体"/>
          <w:b/>
          <w:bCs/>
          <w:sz w:val="24"/>
        </w:rPr>
        <w:t xml:space="preserve">    第二条 甲方的安全责任、权利和义务  </w:t>
      </w:r>
    </w:p>
    <w:p w14:paraId="310414F4">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1、甲方在现场履行管理、监督职责，认真履行第一条共同约定的内容，对乙方在进入总包施工现场的施工安全进行监督、指导、检查。 </w:t>
      </w:r>
    </w:p>
    <w:p w14:paraId="2DC9DEA8">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2、对乙方安排生产任务的同时，对按照规定程序审批的施工组织设计进行书面安全技术交底，并办理交底双方签字手续。 </w:t>
      </w:r>
    </w:p>
    <w:p w14:paraId="7F71A361">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3、在合同中约定由甲方向使用单位提供的安全防护设施，应完整齐全，并且符合安全要求，并整改乙方提出的不安全问题。</w:t>
      </w:r>
    </w:p>
    <w:p w14:paraId="2962157B">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4、有权制止乙方的违章作业，对重大违章行为有权责令其停工整顿；对于乙方的违章行为，甲方有进行经济处罚的权利；因乙方责任造成防护设施、防护用品等损坏、改变或遗失，或者环境破坏，可要求乙方赔偿或恢复。 </w:t>
      </w:r>
    </w:p>
    <w:p w14:paraId="4C77220E">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5、对安全素质差、不服从安全生产管理的人员责令其限期退场，造成的损失由乙方承担。对不执行规章制度的人员，可视情节轻重，按项目奖罚制度进行处罚。</w:t>
      </w:r>
    </w:p>
    <w:p w14:paraId="407A437E">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6、对达不到规定的安全生产条件、存在重大安全隐患或发生安全事故，可要求乙方限期退场，或者中止合同，所造成的后果由乙方承担。</w:t>
      </w:r>
    </w:p>
    <w:p w14:paraId="2D5AA849">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7、按照规定要求对乙方自有的材料和自带（含租赁）施工机具、起重吊装设备、运输车辆等进行安全生产监督检查，有权拒绝乙方不合格产品进场（已进场的，限期退场）。</w:t>
      </w:r>
    </w:p>
    <w:p w14:paraId="40D5B61E">
      <w:pPr>
        <w:spacing w:line="440" w:lineRule="exact"/>
        <w:jc w:val="left"/>
        <w:rPr>
          <w:rFonts w:ascii="宋体" w:hAnsi="宋体" w:cs="宋体"/>
          <w:b/>
          <w:bCs/>
          <w:sz w:val="24"/>
        </w:rPr>
      </w:pPr>
      <w:r>
        <w:rPr>
          <w:rFonts w:hint="eastAsia" w:ascii="宋体" w:hAnsi="宋体" w:cs="宋体"/>
          <w:b/>
          <w:bCs/>
          <w:sz w:val="24"/>
        </w:rPr>
        <w:t xml:space="preserve">    第三条 乙方的安全责任、权利和义务  </w:t>
      </w:r>
    </w:p>
    <w:p w14:paraId="4DFF0E0D">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1、乙方应认真履行第一条共同约定的内容，接受甲方的监督、检查工作。</w:t>
      </w:r>
    </w:p>
    <w:p w14:paraId="4CF47618">
      <w:pPr>
        <w:spacing w:line="440" w:lineRule="exact"/>
        <w:ind w:firstLine="449" w:firstLineChars="214"/>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2、乙方须具备合法运输资质或委托具有合法运输资质的单位负责材料运输工作，车辆符合国家运输安全标准，定期进行安全检测。</w:t>
      </w:r>
    </w:p>
    <w:p w14:paraId="4BC44828">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负责本单位特种作业人员、装卸货人员、运输车辆司机、起重吊装作业司机指挥等人的培训、考核和取证，必须做到进入施工现场的人员持证上岗。进入施工现场作业要有专人在现场履行管理职责，并对未认真履行职责的后果负责。</w:t>
      </w:r>
    </w:p>
    <w:p w14:paraId="59B48B95">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4、不得违章指挥，或强令工人冒险作业，也不能强迫工人连续作业太长时间，更不能进入指定禁区及非本工作作业区域。不得在高处危险作业和各种提升机械的垂直下方（如：吊篮、电梯笼）穿行或停留。 </w:t>
      </w:r>
    </w:p>
    <w:p w14:paraId="7E205386">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5、对甲方所提供的安全设施不能保证安全施工时，应及时提出，也可拒绝施工；在施工中不得未经甲方现场负责人同意私自拆除安全防护设施。 </w:t>
      </w:r>
    </w:p>
    <w:p w14:paraId="23642158">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6、乙方自备的设备及工具必须保证环保、性能良好、各安全装置齐全灵敏有效。进工地前必须报项目监督试机，验收并填写验收表，达不到环保和《JGJ59—2011》标准的设备及工具严禁在工地使用。</w:t>
      </w:r>
    </w:p>
    <w:p w14:paraId="15A78206">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7、乙方自带设备或工具必须相匹配的质量合格的电缆线，并自备符合当地主管部门要求的末级标准配电箱。</w:t>
      </w:r>
    </w:p>
    <w:p w14:paraId="0FA6724F">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8、对甲方人员违章指挥或者可能危及人身安全、财产损失的指挥，乙方有权拒绝。 </w:t>
      </w:r>
    </w:p>
    <w:p w14:paraId="5746062B">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cs="宋体"/>
          <w:color w:val="000000" w:themeColor="text1"/>
          <w:szCs w:val="21"/>
          <w14:textFill>
            <w14:solidFill>
              <w14:schemeClr w14:val="tx1"/>
            </w14:solidFill>
          </w14:textFill>
        </w:rPr>
        <w:t>、不得进行违反安全法律和其他、安全生产规章制度的行为。</w:t>
      </w:r>
    </w:p>
    <w:p w14:paraId="1602B450">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、乙方对供应的材料在甲方施工场地外运输过程发生的安全事故承担全部责任，不得向甲方提出索赔要求。</w:t>
      </w:r>
    </w:p>
    <w:p w14:paraId="26CF7385">
      <w:pPr>
        <w:spacing w:line="440" w:lineRule="exact"/>
        <w:ind w:firstLine="449" w:firstLineChars="214"/>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、材料</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设备在运输</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装卸过程中发生的安全</w:t>
      </w:r>
      <w:r>
        <w:rPr>
          <w:rFonts w:hint="eastAsia" w:ascii="宋体" w:hAnsi="宋体" w:cs="宋体"/>
          <w:color w:val="000000" w:themeColor="text1"/>
          <w:szCs w:val="21"/>
          <w:lang w:val="en-US" w:eastAsia="zh-CN"/>
          <w14:textFill>
            <w14:solidFill>
              <w14:schemeClr w14:val="tx1"/>
            </w14:solidFill>
          </w14:textFill>
        </w:rPr>
        <w:t>事故</w:t>
      </w:r>
      <w:r>
        <w:rPr>
          <w:rFonts w:hint="eastAsia" w:ascii="宋体" w:hAnsi="宋体" w:cs="宋体"/>
          <w:color w:val="000000" w:themeColor="text1"/>
          <w:szCs w:val="21"/>
          <w14:textFill>
            <w14:solidFill>
              <w14:schemeClr w14:val="tx1"/>
            </w14:solidFill>
          </w14:textFill>
        </w:rPr>
        <w:t>由</w:t>
      </w:r>
      <w:r>
        <w:rPr>
          <w:rFonts w:hint="eastAsia" w:ascii="宋体" w:hAnsi="宋体" w:cs="宋体"/>
          <w:color w:val="000000" w:themeColor="text1"/>
          <w:szCs w:val="21"/>
          <w:lang w:val="en-US" w:eastAsia="zh-CN"/>
          <w14:textFill>
            <w14:solidFill>
              <w14:schemeClr w14:val="tx1"/>
            </w14:solidFill>
          </w14:textFill>
        </w:rPr>
        <w:t>乙方</w:t>
      </w:r>
      <w:r>
        <w:rPr>
          <w:rFonts w:hint="eastAsia" w:ascii="宋体" w:hAnsi="宋体" w:cs="宋体"/>
          <w:color w:val="000000" w:themeColor="text1"/>
          <w:szCs w:val="21"/>
          <w14:textFill>
            <w14:solidFill>
              <w14:schemeClr w14:val="tx1"/>
            </w14:solidFill>
          </w14:textFill>
        </w:rPr>
        <w:t>承担</w:t>
      </w:r>
      <w:r>
        <w:rPr>
          <w:rFonts w:hint="eastAsia" w:ascii="宋体" w:hAnsi="宋体" w:cs="宋体"/>
          <w:color w:val="000000" w:themeColor="text1"/>
          <w:szCs w:val="21"/>
          <w:lang w:val="en-US" w:eastAsia="zh-CN"/>
          <w14:textFill>
            <w14:solidFill>
              <w14:schemeClr w14:val="tx1"/>
            </w14:solidFill>
          </w14:textFill>
        </w:rPr>
        <w:t>全部责任</w:t>
      </w:r>
      <w:r>
        <w:rPr>
          <w:rFonts w:hint="eastAsia" w:ascii="宋体" w:hAnsi="宋体" w:cs="宋体"/>
          <w:color w:val="000000" w:themeColor="text1"/>
          <w:szCs w:val="21"/>
          <w:lang w:eastAsia="zh-CN"/>
          <w14:textFill>
            <w14:solidFill>
              <w14:schemeClr w14:val="tx1"/>
            </w14:solidFill>
          </w14:textFill>
        </w:rPr>
        <w:t>。</w:t>
      </w:r>
    </w:p>
    <w:p w14:paraId="12D37C87">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乙方对因自身原因发生的安全事故承担全部责任。由于乙方原因而引发的被当地有关部门处罚的各类事件，</w:t>
      </w:r>
      <w:r>
        <w:rPr>
          <w:rFonts w:hint="eastAsia" w:ascii="宋体" w:hAnsi="宋体" w:cs="宋体"/>
          <w:color w:val="000000" w:themeColor="text1"/>
          <w:szCs w:val="21"/>
          <w:lang w:val="en-US" w:eastAsia="zh-CN"/>
          <w14:textFill>
            <w14:solidFill>
              <w14:schemeClr w14:val="tx1"/>
            </w14:solidFill>
          </w14:textFill>
        </w:rPr>
        <w:t>乙方</w:t>
      </w:r>
      <w:r>
        <w:rPr>
          <w:rFonts w:hint="eastAsia" w:ascii="宋体" w:hAnsi="宋体" w:cs="宋体"/>
          <w:color w:val="000000" w:themeColor="text1"/>
          <w:szCs w:val="21"/>
          <w14:textFill>
            <w14:solidFill>
              <w14:schemeClr w14:val="tx1"/>
            </w14:solidFill>
          </w14:textFill>
        </w:rPr>
        <w:t>承担</w:t>
      </w:r>
      <w:r>
        <w:rPr>
          <w:rFonts w:hint="eastAsia" w:ascii="宋体" w:hAnsi="宋体" w:cs="宋体"/>
          <w:color w:val="000000" w:themeColor="text1"/>
          <w:szCs w:val="21"/>
          <w:lang w:val="en-US" w:eastAsia="zh-CN"/>
          <w14:textFill>
            <w14:solidFill>
              <w14:schemeClr w14:val="tx1"/>
            </w14:solidFill>
          </w14:textFill>
        </w:rPr>
        <w:t>全部责任</w:t>
      </w:r>
      <w:r>
        <w:rPr>
          <w:rFonts w:hint="eastAsia" w:ascii="宋体" w:hAnsi="宋体" w:cs="宋体"/>
          <w:color w:val="000000" w:themeColor="text1"/>
          <w:szCs w:val="21"/>
          <w14:textFill>
            <w14:solidFill>
              <w14:schemeClr w14:val="tx1"/>
            </w14:solidFill>
          </w14:textFill>
        </w:rPr>
        <w:t>；</w:t>
      </w:r>
    </w:p>
    <w:p w14:paraId="6412FB40">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、在施工现场发生事故时，应积极抢救伤员，保护事故现场，防止事故扩大，按甲方要求提供事故有关资料，并配合调查。</w:t>
      </w:r>
    </w:p>
    <w:p w14:paraId="745E8DBE">
      <w:pPr>
        <w:spacing w:line="440" w:lineRule="exact"/>
        <w:jc w:val="left"/>
        <w:rPr>
          <w:rFonts w:ascii="宋体" w:hAnsi="宋体" w:cs="宋体"/>
          <w:b/>
          <w:bCs/>
          <w:sz w:val="24"/>
        </w:rPr>
      </w:pPr>
      <w:r>
        <w:rPr>
          <w:rFonts w:hint="eastAsia" w:ascii="宋体" w:hAnsi="宋体" w:cs="宋体"/>
          <w:b/>
          <w:bCs/>
          <w:sz w:val="24"/>
        </w:rPr>
        <w:t xml:space="preserve">    第四条 事故处理 </w:t>
      </w:r>
    </w:p>
    <w:p w14:paraId="4322F3E3">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1、在施工现场内发生重伤或死亡事故，由甲方主管部门牵头，乙方为主，甲乙双方共同参加，按照规定报告有关部门进行调查，查清事故原因，分清事故责任，提出对事故责任者的处理意见。 </w:t>
      </w:r>
    </w:p>
    <w:p w14:paraId="3372DED2">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2、由于没有认真履行安全责任，造成重大伤亡事故，情节严重的主要直接责任者，已触及国家刑律，应提请有关部门进行调查处理。 </w:t>
      </w:r>
    </w:p>
    <w:p w14:paraId="506968B4">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3、对不认真履行本合同，违章指挥、违章作业、冒险进入施工禁区及损坏安全防护设施、不按规定进行安全技术交底及组织施工，造成伤亡事故的，应由事故责任方承担罚款及一切经济损失和责任。 </w:t>
      </w:r>
    </w:p>
    <w:p w14:paraId="0B1A3A57">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4、由于甲方主要责任造成的伤亡事故，乙方有权要求甲方进行经济赔偿。由于乙方主要责任造成的伤亡事故，甲方有权要求乙方承担违约责任。</w:t>
      </w:r>
    </w:p>
    <w:p w14:paraId="2E3022EB">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5、由于第三方责任导致乙方人员伤亡，及由于乙方责任导致第三方人员伤亡，由乙方负责并处理。</w:t>
      </w:r>
    </w:p>
    <w:p w14:paraId="2A478F67">
      <w:pPr>
        <w:spacing w:line="440" w:lineRule="exact"/>
        <w:ind w:firstLine="449" w:firstLineChars="214"/>
        <w:jc w:val="left"/>
        <w:rPr>
          <w:rFonts w:ascii="宋体" w:hAnsi="宋体" w:cs="宋体"/>
          <w:color w:val="auto"/>
          <w:szCs w:val="21"/>
        </w:rPr>
      </w:pPr>
      <w:r>
        <w:rPr>
          <w:rFonts w:hint="eastAsia" w:ascii="宋体" w:hAnsi="宋体" w:cs="宋体"/>
          <w:color w:val="000000" w:themeColor="text1"/>
          <w:szCs w:val="21"/>
          <w14:textFill>
            <w14:solidFill>
              <w14:schemeClr w14:val="tx1"/>
            </w14:solidFill>
          </w14:textFill>
        </w:rPr>
        <w:t>6、对乙方因自身原因发生的安全事故，如因工人自身误操作、违章作业、冒险进入施工禁区、损坏安全设施、乙方不按规定对工人进行安全交底、班前活动等等，所造成的或主要责</w:t>
      </w:r>
      <w:r>
        <w:rPr>
          <w:rFonts w:hint="eastAsia" w:ascii="宋体" w:hAnsi="宋体" w:cs="宋体"/>
          <w:color w:val="auto"/>
          <w:szCs w:val="21"/>
        </w:rPr>
        <w:t>任在乙方的伤害事故，所发生的一切责任及费用由乙方承担。</w:t>
      </w:r>
    </w:p>
    <w:p w14:paraId="505028AD">
      <w:pPr>
        <w:spacing w:line="440" w:lineRule="exact"/>
        <w:ind w:firstLine="449" w:firstLineChars="214"/>
        <w:jc w:val="left"/>
        <w:rPr>
          <w:rFonts w:hint="default" w:ascii="宋体" w:hAnsi="宋体" w:eastAsia="宋体" w:cs="宋体"/>
          <w:color w:val="auto"/>
          <w:szCs w:val="21"/>
          <w:lang w:val="en-US" w:eastAsia="zh-CN"/>
        </w:rPr>
      </w:pPr>
      <w:r>
        <w:rPr>
          <w:rFonts w:hint="eastAsia" w:ascii="宋体" w:hAnsi="宋体" w:cs="宋体"/>
          <w:color w:val="auto"/>
          <w:szCs w:val="21"/>
          <w:lang w:val="en-US" w:eastAsia="zh-CN"/>
        </w:rPr>
        <w:t>7、</w:t>
      </w:r>
      <w:r>
        <w:rPr>
          <w:rFonts w:hint="eastAsia" w:ascii="宋体" w:hAnsi="宋体" w:eastAsia="宋体" w:cs="宋体"/>
          <w:color w:val="auto"/>
          <w:szCs w:val="21"/>
          <w:lang w:val="en-US" w:eastAsia="zh-CN"/>
        </w:rPr>
        <w:t>乙方未按安全规范操作导致事故，需承担全部经济损失及甲方因此产生的连带责任</w:t>
      </w:r>
      <w:r>
        <w:rPr>
          <w:rFonts w:hint="eastAsia" w:ascii="宋体" w:hAnsi="宋体" w:cs="宋体"/>
          <w:color w:val="auto"/>
          <w:szCs w:val="21"/>
          <w:lang w:val="en-US" w:eastAsia="zh-CN"/>
        </w:rPr>
        <w:t>。</w:t>
      </w:r>
    </w:p>
    <w:p w14:paraId="3DD8E1E7">
      <w:pPr>
        <w:autoSpaceDE w:val="0"/>
        <w:autoSpaceDN w:val="0"/>
        <w:adjustRightInd w:val="0"/>
        <w:spacing w:line="500" w:lineRule="exact"/>
        <w:ind w:firstLine="482" w:firstLineChars="200"/>
        <w:rPr>
          <w:rFonts w:ascii="宋体" w:hAnsi="宋体" w:cs="宋体"/>
          <w:color w:val="000000"/>
          <w:szCs w:val="21"/>
        </w:rPr>
      </w:pPr>
      <w:r>
        <w:rPr>
          <w:rFonts w:hint="eastAsia" w:ascii="宋体" w:hAnsi="宋体" w:cs="宋体"/>
          <w:b/>
          <w:bCs/>
          <w:color w:val="auto"/>
          <w:sz w:val="24"/>
        </w:rPr>
        <w:t>第五条</w:t>
      </w:r>
      <w:r>
        <w:rPr>
          <w:rFonts w:hint="eastAsia" w:ascii="宋体" w:hAnsi="宋体" w:cs="宋体"/>
          <w:color w:val="auto"/>
          <w:szCs w:val="21"/>
        </w:rPr>
        <w:t>本合同一式肆份，甲方贰份，乙方贰份。合同当事人双方法定代表人或其委托代理人签章后生效，双方供应关系结束后自动失效。</w:t>
      </w:r>
      <w:r>
        <w:rPr>
          <w:rFonts w:hint="eastAsia" w:ascii="宋体" w:hAnsi="宋体" w:cs="宋体"/>
          <w:color w:val="000000"/>
          <w:szCs w:val="21"/>
        </w:rPr>
        <w:t xml:space="preserve"> </w:t>
      </w:r>
    </w:p>
    <w:p w14:paraId="7543B809">
      <w:pPr>
        <w:autoSpaceDE w:val="0"/>
        <w:autoSpaceDN w:val="0"/>
        <w:adjustRightInd w:val="0"/>
        <w:spacing w:line="500" w:lineRule="exact"/>
        <w:rPr>
          <w:rFonts w:ascii="宋体" w:hAnsi="宋体" w:cs="宋体"/>
          <w:color w:val="000000"/>
          <w:szCs w:val="21"/>
        </w:rPr>
      </w:pPr>
    </w:p>
    <w:p w14:paraId="71572A9F">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szCs w:val="21"/>
        </w:rPr>
        <w:t>甲方单位（盖章）                           乙方单位（盖章）</w:t>
      </w:r>
    </w:p>
    <w:p w14:paraId="744BB0A6">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szCs w:val="21"/>
        </w:rPr>
        <w:t xml:space="preserve"> </w:t>
      </w:r>
    </w:p>
    <w:p w14:paraId="35754865">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            法定代表人或其委托代理人：</w:t>
      </w:r>
    </w:p>
    <w:p w14:paraId="6EB1F45A">
      <w:pPr>
        <w:autoSpaceDE w:val="0"/>
        <w:autoSpaceDN w:val="0"/>
        <w:adjustRightInd w:val="0"/>
        <w:spacing w:line="500" w:lineRule="exact"/>
        <w:ind w:firstLine="420" w:firstLineChars="200"/>
        <w:rPr>
          <w:rFonts w:ascii="宋体" w:hAnsi="宋体" w:cs="宋体"/>
          <w:szCs w:val="21"/>
          <w:lang w:val="zh-CN"/>
        </w:rPr>
      </w:pPr>
    </w:p>
    <w:p w14:paraId="44482C80">
      <w:pPr>
        <w:widowControl/>
        <w:spacing w:line="500" w:lineRule="exact"/>
        <w:ind w:left="2" w:leftChars="1" w:firstLine="420" w:firstLineChars="200"/>
        <w:jc w:val="left"/>
        <w:outlineLvl w:val="1"/>
        <w:rPr>
          <w:rFonts w:ascii="宋体" w:hAnsi="宋体" w:cs="仿宋_GB2312"/>
          <w:szCs w:val="21"/>
        </w:rPr>
      </w:pPr>
      <w:r>
        <w:rPr>
          <w:rFonts w:hint="eastAsia" w:ascii="宋体" w:hAnsi="宋体" w:cs="仿宋_GB2312"/>
          <w:szCs w:val="21"/>
        </w:rPr>
        <w:t>日  期：</w:t>
      </w:r>
      <w:r>
        <w:rPr>
          <w:rFonts w:hint="eastAsia" w:ascii="宋体" w:hAnsi="宋体" w:cs="仿宋_GB2312"/>
          <w:szCs w:val="21"/>
          <w:lang w:val="en-US" w:eastAsia="zh-CN"/>
        </w:rPr>
        <w:t>2026</w:t>
      </w:r>
      <w:r>
        <w:rPr>
          <w:rFonts w:hint="eastAsia" w:ascii="宋体" w:hAnsi="宋体" w:cs="仿宋_GB2312"/>
          <w:szCs w:val="21"/>
        </w:rPr>
        <w:t>年</w:t>
      </w:r>
      <w:r>
        <w:rPr>
          <w:rFonts w:hint="eastAsia"/>
        </w:rPr>
        <w:t xml:space="preserve"> </w:t>
      </w:r>
      <w:r>
        <w:t xml:space="preserve"> </w:t>
      </w:r>
      <w:r>
        <w:rPr>
          <w:rFonts w:hint="eastAsia"/>
        </w:rPr>
        <w:t xml:space="preserve"> </w:t>
      </w:r>
      <w:r>
        <w:rPr>
          <w:rFonts w:hint="eastAsia" w:ascii="宋体" w:hAnsi="宋体" w:cs="仿宋_GB2312"/>
          <w:szCs w:val="21"/>
        </w:rPr>
        <w:t xml:space="preserve">月 </w:t>
      </w:r>
      <w:r>
        <w:rPr>
          <w:rFonts w:ascii="宋体" w:hAnsi="宋体" w:cs="仿宋_GB2312"/>
          <w:szCs w:val="21"/>
        </w:rPr>
        <w:t xml:space="preserve"> </w:t>
      </w:r>
      <w:r>
        <w:rPr>
          <w:rFonts w:hint="eastAsia" w:ascii="宋体" w:hAnsi="宋体" w:cs="仿宋_GB2312"/>
          <w:szCs w:val="21"/>
        </w:rPr>
        <w:t xml:space="preserve"> 日            </w:t>
      </w:r>
      <w:r>
        <w:rPr>
          <w:rFonts w:hint="eastAsia" w:ascii="宋体" w:hAnsi="宋体" w:cs="仿宋_GB2312"/>
          <w:szCs w:val="21"/>
          <w:lang w:val="en-US" w:eastAsia="zh-CN"/>
        </w:rPr>
        <w:t xml:space="preserve">   </w:t>
      </w:r>
      <w:r>
        <w:rPr>
          <w:rFonts w:hint="eastAsia" w:ascii="宋体" w:hAnsi="宋体" w:cs="仿宋_GB2312"/>
          <w:szCs w:val="21"/>
        </w:rPr>
        <w:t xml:space="preserve">   日  期：</w:t>
      </w:r>
      <w:r>
        <w:rPr>
          <w:rFonts w:hint="eastAsia" w:ascii="宋体" w:hAnsi="宋体" w:cs="仿宋_GB2312"/>
          <w:szCs w:val="21"/>
          <w:lang w:val="en-US" w:eastAsia="zh-CN"/>
        </w:rPr>
        <w:t>2026</w:t>
      </w:r>
      <w:r>
        <w:rPr>
          <w:rFonts w:hint="eastAsia" w:ascii="宋体" w:hAnsi="宋体" w:cs="仿宋_GB2312"/>
          <w:szCs w:val="21"/>
        </w:rPr>
        <w:t>年</w:t>
      </w:r>
      <w:r>
        <w:rPr>
          <w:rFonts w:hint="eastAsia"/>
        </w:rPr>
        <w:t xml:space="preserve"> </w:t>
      </w:r>
      <w:r>
        <w:t xml:space="preserve"> </w:t>
      </w:r>
      <w:r>
        <w:rPr>
          <w:rFonts w:hint="eastAsia"/>
        </w:rPr>
        <w:t xml:space="preserve"> </w:t>
      </w:r>
      <w:r>
        <w:rPr>
          <w:rFonts w:hint="eastAsia" w:ascii="宋体" w:hAnsi="宋体" w:cs="仿宋_GB2312"/>
          <w:szCs w:val="21"/>
        </w:rPr>
        <w:t xml:space="preserve">月 </w:t>
      </w:r>
      <w:r>
        <w:rPr>
          <w:rFonts w:ascii="宋体" w:hAnsi="宋体" w:cs="仿宋_GB2312"/>
          <w:szCs w:val="21"/>
        </w:rPr>
        <w:t xml:space="preserve"> </w:t>
      </w:r>
      <w:r>
        <w:rPr>
          <w:rFonts w:hint="eastAsia" w:ascii="宋体" w:hAnsi="宋体" w:cs="仿宋_GB2312"/>
          <w:szCs w:val="21"/>
        </w:rPr>
        <w:t xml:space="preserve"> 日</w:t>
      </w:r>
    </w:p>
    <w:p w14:paraId="33AD0F5E">
      <w:pPr>
        <w:spacing w:line="500" w:lineRule="exact"/>
        <w:ind w:firstLine="5250" w:firstLineChars="2500"/>
        <w:jc w:val="left"/>
        <w:rPr>
          <w:rFonts w:hint="eastAsia" w:asciiTheme="minorEastAsia" w:hAnsiTheme="minorEastAsia" w:eastAsiaTheme="minorEastAsia"/>
          <w:szCs w:val="21"/>
        </w:rPr>
      </w:pPr>
    </w:p>
    <w:permEnd w:id="58"/>
    <w:p w14:paraId="4E77D329">
      <w:pPr>
        <w:spacing w:line="500" w:lineRule="exact"/>
        <w:ind w:firstLine="5250" w:firstLineChars="2500"/>
        <w:jc w:val="left"/>
        <w:rPr>
          <w:rFonts w:hint="eastAsia" w:asciiTheme="minorEastAsia" w:hAnsiTheme="minorEastAsia" w:eastAsiaTheme="minorEastAsia"/>
          <w:szCs w:val="21"/>
        </w:rPr>
      </w:pPr>
    </w:p>
    <w:sectPr>
      <w:pgSz w:w="11906" w:h="16838"/>
      <w:pgMar w:top="1440" w:right="1700"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ont-weight : 40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5919721"/>
    </w:sdtPr>
    <w:sdtContent>
      <w:sdt>
        <w:sdtPr>
          <w:id w:val="1728636285"/>
        </w:sdtPr>
        <w:sdtContent>
          <w:p w14:paraId="6161BBA9">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12</w:t>
            </w:r>
            <w:r>
              <w:rPr>
                <w:b/>
                <w:bCs/>
                <w:sz w:val="24"/>
                <w:szCs w:val="24"/>
              </w:rPr>
              <w:fldChar w:fldCharType="end"/>
            </w:r>
          </w:p>
        </w:sdtContent>
      </w:sdt>
    </w:sdtContent>
  </w:sdt>
  <w:p w14:paraId="14F00308">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QZamXuXcvxJnMzPu8K8LHyQwzSI=" w:salt="31g0lTTNJXGZMM6mXP6FAg=="/>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yZmU1ZTkwZGUzNDVkNjJhNGZlNGQxOTEyNmE4MmQifQ=="/>
  </w:docVars>
  <w:rsids>
    <w:rsidRoot w:val="0079709A"/>
    <w:rsid w:val="0000172C"/>
    <w:rsid w:val="00001A56"/>
    <w:rsid w:val="00003AEA"/>
    <w:rsid w:val="00005C6A"/>
    <w:rsid w:val="00012128"/>
    <w:rsid w:val="000130CB"/>
    <w:rsid w:val="00014305"/>
    <w:rsid w:val="00017898"/>
    <w:rsid w:val="000179EB"/>
    <w:rsid w:val="000213EA"/>
    <w:rsid w:val="00022F1F"/>
    <w:rsid w:val="000255BD"/>
    <w:rsid w:val="00026751"/>
    <w:rsid w:val="00027938"/>
    <w:rsid w:val="00027F3D"/>
    <w:rsid w:val="000346A3"/>
    <w:rsid w:val="00034D18"/>
    <w:rsid w:val="0003742B"/>
    <w:rsid w:val="00040FA7"/>
    <w:rsid w:val="00043285"/>
    <w:rsid w:val="00044256"/>
    <w:rsid w:val="000475C0"/>
    <w:rsid w:val="0006110C"/>
    <w:rsid w:val="00061B21"/>
    <w:rsid w:val="00061B3B"/>
    <w:rsid w:val="00064DBD"/>
    <w:rsid w:val="00066920"/>
    <w:rsid w:val="00070E93"/>
    <w:rsid w:val="0007101D"/>
    <w:rsid w:val="0008102F"/>
    <w:rsid w:val="00083509"/>
    <w:rsid w:val="00085350"/>
    <w:rsid w:val="00086786"/>
    <w:rsid w:val="00086809"/>
    <w:rsid w:val="0008705B"/>
    <w:rsid w:val="00087E12"/>
    <w:rsid w:val="00092347"/>
    <w:rsid w:val="00094400"/>
    <w:rsid w:val="00095609"/>
    <w:rsid w:val="00095D55"/>
    <w:rsid w:val="000B4504"/>
    <w:rsid w:val="000B543B"/>
    <w:rsid w:val="000B7DCE"/>
    <w:rsid w:val="000C224C"/>
    <w:rsid w:val="000C2FF4"/>
    <w:rsid w:val="000C3510"/>
    <w:rsid w:val="000C450B"/>
    <w:rsid w:val="000C54B9"/>
    <w:rsid w:val="000C6276"/>
    <w:rsid w:val="000C6AD6"/>
    <w:rsid w:val="000D0269"/>
    <w:rsid w:val="000D194E"/>
    <w:rsid w:val="000D1CE4"/>
    <w:rsid w:val="000D3622"/>
    <w:rsid w:val="000D4F02"/>
    <w:rsid w:val="000E0422"/>
    <w:rsid w:val="000E3A71"/>
    <w:rsid w:val="000E4841"/>
    <w:rsid w:val="000E4BF2"/>
    <w:rsid w:val="000E5CB5"/>
    <w:rsid w:val="000E5DA6"/>
    <w:rsid w:val="000F1939"/>
    <w:rsid w:val="000F2969"/>
    <w:rsid w:val="000F40C4"/>
    <w:rsid w:val="000F43EE"/>
    <w:rsid w:val="000F49CE"/>
    <w:rsid w:val="000F5AAB"/>
    <w:rsid w:val="000F71E5"/>
    <w:rsid w:val="00103166"/>
    <w:rsid w:val="00103CB3"/>
    <w:rsid w:val="00113149"/>
    <w:rsid w:val="00115597"/>
    <w:rsid w:val="00116ADA"/>
    <w:rsid w:val="00116CED"/>
    <w:rsid w:val="001273A7"/>
    <w:rsid w:val="00130035"/>
    <w:rsid w:val="00130D50"/>
    <w:rsid w:val="00131CE4"/>
    <w:rsid w:val="00133241"/>
    <w:rsid w:val="00134139"/>
    <w:rsid w:val="00134DDA"/>
    <w:rsid w:val="00136294"/>
    <w:rsid w:val="001369A4"/>
    <w:rsid w:val="00143806"/>
    <w:rsid w:val="001451BB"/>
    <w:rsid w:val="00145768"/>
    <w:rsid w:val="001476CE"/>
    <w:rsid w:val="001477CD"/>
    <w:rsid w:val="00147B27"/>
    <w:rsid w:val="001530EA"/>
    <w:rsid w:val="001554CB"/>
    <w:rsid w:val="00157544"/>
    <w:rsid w:val="00160D95"/>
    <w:rsid w:val="00165230"/>
    <w:rsid w:val="001654A8"/>
    <w:rsid w:val="001667F9"/>
    <w:rsid w:val="00173CC0"/>
    <w:rsid w:val="0017646F"/>
    <w:rsid w:val="00176792"/>
    <w:rsid w:val="00177C7A"/>
    <w:rsid w:val="00190A13"/>
    <w:rsid w:val="0019219D"/>
    <w:rsid w:val="001963D0"/>
    <w:rsid w:val="00196BD5"/>
    <w:rsid w:val="001A3A7C"/>
    <w:rsid w:val="001A490D"/>
    <w:rsid w:val="001B01D8"/>
    <w:rsid w:val="001B0B24"/>
    <w:rsid w:val="001B150B"/>
    <w:rsid w:val="001B31A4"/>
    <w:rsid w:val="001B3568"/>
    <w:rsid w:val="001B3C12"/>
    <w:rsid w:val="001B5643"/>
    <w:rsid w:val="001B7DCB"/>
    <w:rsid w:val="001C0941"/>
    <w:rsid w:val="001C614C"/>
    <w:rsid w:val="001D1888"/>
    <w:rsid w:val="001D18C9"/>
    <w:rsid w:val="001D6109"/>
    <w:rsid w:val="001D62BC"/>
    <w:rsid w:val="001D6C9D"/>
    <w:rsid w:val="001D6E1A"/>
    <w:rsid w:val="001D7293"/>
    <w:rsid w:val="001E086F"/>
    <w:rsid w:val="001E2638"/>
    <w:rsid w:val="001E45A7"/>
    <w:rsid w:val="001E4C61"/>
    <w:rsid w:val="001E5C10"/>
    <w:rsid w:val="001F0FF6"/>
    <w:rsid w:val="001F3EBB"/>
    <w:rsid w:val="002027A6"/>
    <w:rsid w:val="0020289B"/>
    <w:rsid w:val="00204370"/>
    <w:rsid w:val="002115B2"/>
    <w:rsid w:val="0021610E"/>
    <w:rsid w:val="002204EE"/>
    <w:rsid w:val="00220C44"/>
    <w:rsid w:val="002211CF"/>
    <w:rsid w:val="00222B6D"/>
    <w:rsid w:val="002247CB"/>
    <w:rsid w:val="00224E74"/>
    <w:rsid w:val="00224F00"/>
    <w:rsid w:val="00225A6E"/>
    <w:rsid w:val="00227578"/>
    <w:rsid w:val="002276C8"/>
    <w:rsid w:val="002338A7"/>
    <w:rsid w:val="00235C49"/>
    <w:rsid w:val="00235FB3"/>
    <w:rsid w:val="00240D1F"/>
    <w:rsid w:val="002417C4"/>
    <w:rsid w:val="00241E85"/>
    <w:rsid w:val="002433AC"/>
    <w:rsid w:val="002504FE"/>
    <w:rsid w:val="0025184F"/>
    <w:rsid w:val="00251FA7"/>
    <w:rsid w:val="002524EA"/>
    <w:rsid w:val="00253BDA"/>
    <w:rsid w:val="00254462"/>
    <w:rsid w:val="00264C09"/>
    <w:rsid w:val="002661AA"/>
    <w:rsid w:val="00267506"/>
    <w:rsid w:val="002715EB"/>
    <w:rsid w:val="00271756"/>
    <w:rsid w:val="002717A0"/>
    <w:rsid w:val="00271C94"/>
    <w:rsid w:val="0027602E"/>
    <w:rsid w:val="00283CA2"/>
    <w:rsid w:val="00285F7F"/>
    <w:rsid w:val="00287584"/>
    <w:rsid w:val="002876F6"/>
    <w:rsid w:val="0028799F"/>
    <w:rsid w:val="002909B1"/>
    <w:rsid w:val="002920CA"/>
    <w:rsid w:val="002941AE"/>
    <w:rsid w:val="002A2929"/>
    <w:rsid w:val="002A46A5"/>
    <w:rsid w:val="002B3F3E"/>
    <w:rsid w:val="002B5BFC"/>
    <w:rsid w:val="002C2A7A"/>
    <w:rsid w:val="002C304D"/>
    <w:rsid w:val="002C4D4B"/>
    <w:rsid w:val="002D0063"/>
    <w:rsid w:val="002D0288"/>
    <w:rsid w:val="002D0874"/>
    <w:rsid w:val="002D1003"/>
    <w:rsid w:val="002D1984"/>
    <w:rsid w:val="002D3C0A"/>
    <w:rsid w:val="002D3DA7"/>
    <w:rsid w:val="002D406C"/>
    <w:rsid w:val="002E0A2B"/>
    <w:rsid w:val="002E4B19"/>
    <w:rsid w:val="002E5BD8"/>
    <w:rsid w:val="002E645F"/>
    <w:rsid w:val="002E72F8"/>
    <w:rsid w:val="002F524E"/>
    <w:rsid w:val="002F59E2"/>
    <w:rsid w:val="002F610F"/>
    <w:rsid w:val="002F74DB"/>
    <w:rsid w:val="00301517"/>
    <w:rsid w:val="003037F4"/>
    <w:rsid w:val="0030533F"/>
    <w:rsid w:val="003065BC"/>
    <w:rsid w:val="00307516"/>
    <w:rsid w:val="00314126"/>
    <w:rsid w:val="003176EC"/>
    <w:rsid w:val="00322830"/>
    <w:rsid w:val="003228CD"/>
    <w:rsid w:val="00323D93"/>
    <w:rsid w:val="003256D4"/>
    <w:rsid w:val="00326A23"/>
    <w:rsid w:val="00333C23"/>
    <w:rsid w:val="0033503B"/>
    <w:rsid w:val="003368BE"/>
    <w:rsid w:val="00341F24"/>
    <w:rsid w:val="00344E7F"/>
    <w:rsid w:val="00345CFD"/>
    <w:rsid w:val="003467D8"/>
    <w:rsid w:val="00347B94"/>
    <w:rsid w:val="003505FF"/>
    <w:rsid w:val="00351442"/>
    <w:rsid w:val="00351BD9"/>
    <w:rsid w:val="00352A61"/>
    <w:rsid w:val="00355CA7"/>
    <w:rsid w:val="0035665B"/>
    <w:rsid w:val="00360BDC"/>
    <w:rsid w:val="00363360"/>
    <w:rsid w:val="003652A8"/>
    <w:rsid w:val="00367724"/>
    <w:rsid w:val="00367A94"/>
    <w:rsid w:val="00370822"/>
    <w:rsid w:val="00372292"/>
    <w:rsid w:val="003728C5"/>
    <w:rsid w:val="003747E1"/>
    <w:rsid w:val="00374C49"/>
    <w:rsid w:val="003764C9"/>
    <w:rsid w:val="00383646"/>
    <w:rsid w:val="00385295"/>
    <w:rsid w:val="00385E87"/>
    <w:rsid w:val="0038651E"/>
    <w:rsid w:val="00387684"/>
    <w:rsid w:val="00391149"/>
    <w:rsid w:val="0039207A"/>
    <w:rsid w:val="00394EB0"/>
    <w:rsid w:val="0039505C"/>
    <w:rsid w:val="00397549"/>
    <w:rsid w:val="003A05E2"/>
    <w:rsid w:val="003A0F15"/>
    <w:rsid w:val="003A1A7F"/>
    <w:rsid w:val="003A67FC"/>
    <w:rsid w:val="003B37FC"/>
    <w:rsid w:val="003B3A5D"/>
    <w:rsid w:val="003B4667"/>
    <w:rsid w:val="003B57D7"/>
    <w:rsid w:val="003B5DCA"/>
    <w:rsid w:val="003B61C8"/>
    <w:rsid w:val="003B62BA"/>
    <w:rsid w:val="003B6324"/>
    <w:rsid w:val="003B6EE4"/>
    <w:rsid w:val="003C4E06"/>
    <w:rsid w:val="003C62B7"/>
    <w:rsid w:val="003D4421"/>
    <w:rsid w:val="003D72E4"/>
    <w:rsid w:val="003E0C15"/>
    <w:rsid w:val="003E1CDB"/>
    <w:rsid w:val="003E40CF"/>
    <w:rsid w:val="003E459D"/>
    <w:rsid w:val="003E618B"/>
    <w:rsid w:val="003E7F50"/>
    <w:rsid w:val="003F2758"/>
    <w:rsid w:val="003F445F"/>
    <w:rsid w:val="00400AFC"/>
    <w:rsid w:val="00401204"/>
    <w:rsid w:val="00402D88"/>
    <w:rsid w:val="00405EAA"/>
    <w:rsid w:val="004107EC"/>
    <w:rsid w:val="00412029"/>
    <w:rsid w:val="004128F5"/>
    <w:rsid w:val="004144FE"/>
    <w:rsid w:val="00414F74"/>
    <w:rsid w:val="00415FE5"/>
    <w:rsid w:val="004210FF"/>
    <w:rsid w:val="00422541"/>
    <w:rsid w:val="00423066"/>
    <w:rsid w:val="0042333D"/>
    <w:rsid w:val="00425C34"/>
    <w:rsid w:val="00426CBD"/>
    <w:rsid w:val="00427844"/>
    <w:rsid w:val="0043135C"/>
    <w:rsid w:val="00437E6B"/>
    <w:rsid w:val="004465ED"/>
    <w:rsid w:val="0045167E"/>
    <w:rsid w:val="0045187C"/>
    <w:rsid w:val="00451F71"/>
    <w:rsid w:val="00451FEB"/>
    <w:rsid w:val="004525AC"/>
    <w:rsid w:val="004535A3"/>
    <w:rsid w:val="0045570E"/>
    <w:rsid w:val="0046100E"/>
    <w:rsid w:val="0046192E"/>
    <w:rsid w:val="00463F1F"/>
    <w:rsid w:val="004660EB"/>
    <w:rsid w:val="00467560"/>
    <w:rsid w:val="00471C0E"/>
    <w:rsid w:val="00472794"/>
    <w:rsid w:val="004750C3"/>
    <w:rsid w:val="00482674"/>
    <w:rsid w:val="00482BAF"/>
    <w:rsid w:val="0048358A"/>
    <w:rsid w:val="004847EC"/>
    <w:rsid w:val="00484A92"/>
    <w:rsid w:val="0048566E"/>
    <w:rsid w:val="004864B1"/>
    <w:rsid w:val="00486A63"/>
    <w:rsid w:val="004A02EE"/>
    <w:rsid w:val="004A07C2"/>
    <w:rsid w:val="004A147D"/>
    <w:rsid w:val="004A2966"/>
    <w:rsid w:val="004A297D"/>
    <w:rsid w:val="004A525E"/>
    <w:rsid w:val="004A5CA9"/>
    <w:rsid w:val="004B22FA"/>
    <w:rsid w:val="004B29E8"/>
    <w:rsid w:val="004B29F1"/>
    <w:rsid w:val="004B41BE"/>
    <w:rsid w:val="004B5347"/>
    <w:rsid w:val="004B65E2"/>
    <w:rsid w:val="004B6F63"/>
    <w:rsid w:val="004C10C6"/>
    <w:rsid w:val="004C16C7"/>
    <w:rsid w:val="004C3215"/>
    <w:rsid w:val="004C3FC9"/>
    <w:rsid w:val="004C47BF"/>
    <w:rsid w:val="004D1D88"/>
    <w:rsid w:val="004D33C9"/>
    <w:rsid w:val="004D660E"/>
    <w:rsid w:val="004D75B5"/>
    <w:rsid w:val="004E2477"/>
    <w:rsid w:val="004E6DBE"/>
    <w:rsid w:val="004F59A1"/>
    <w:rsid w:val="004F6A30"/>
    <w:rsid w:val="004F78EB"/>
    <w:rsid w:val="005009A5"/>
    <w:rsid w:val="00501EFC"/>
    <w:rsid w:val="00502EFB"/>
    <w:rsid w:val="0050354E"/>
    <w:rsid w:val="00504D85"/>
    <w:rsid w:val="00506D74"/>
    <w:rsid w:val="005153E3"/>
    <w:rsid w:val="00517719"/>
    <w:rsid w:val="00520787"/>
    <w:rsid w:val="00521623"/>
    <w:rsid w:val="00521C55"/>
    <w:rsid w:val="00521C72"/>
    <w:rsid w:val="0052293B"/>
    <w:rsid w:val="00524330"/>
    <w:rsid w:val="00524AE0"/>
    <w:rsid w:val="0052759E"/>
    <w:rsid w:val="00530E8E"/>
    <w:rsid w:val="0053259E"/>
    <w:rsid w:val="00534265"/>
    <w:rsid w:val="0053633E"/>
    <w:rsid w:val="00536525"/>
    <w:rsid w:val="00537875"/>
    <w:rsid w:val="00542947"/>
    <w:rsid w:val="00547C4A"/>
    <w:rsid w:val="00547E27"/>
    <w:rsid w:val="00553869"/>
    <w:rsid w:val="005607F8"/>
    <w:rsid w:val="00560CA5"/>
    <w:rsid w:val="0056200D"/>
    <w:rsid w:val="005620B6"/>
    <w:rsid w:val="005627B5"/>
    <w:rsid w:val="005649BC"/>
    <w:rsid w:val="00564A77"/>
    <w:rsid w:val="0056516E"/>
    <w:rsid w:val="00567F21"/>
    <w:rsid w:val="00570E5B"/>
    <w:rsid w:val="00573414"/>
    <w:rsid w:val="00573611"/>
    <w:rsid w:val="00576B5F"/>
    <w:rsid w:val="00576D5D"/>
    <w:rsid w:val="005802FD"/>
    <w:rsid w:val="005812E1"/>
    <w:rsid w:val="00583541"/>
    <w:rsid w:val="005837FF"/>
    <w:rsid w:val="005838E6"/>
    <w:rsid w:val="0058409F"/>
    <w:rsid w:val="00584A21"/>
    <w:rsid w:val="00585D98"/>
    <w:rsid w:val="0058739D"/>
    <w:rsid w:val="00592A5E"/>
    <w:rsid w:val="0059404E"/>
    <w:rsid w:val="005A0303"/>
    <w:rsid w:val="005A2FFC"/>
    <w:rsid w:val="005A642F"/>
    <w:rsid w:val="005A74B6"/>
    <w:rsid w:val="005B0934"/>
    <w:rsid w:val="005B192A"/>
    <w:rsid w:val="005B2035"/>
    <w:rsid w:val="005B4266"/>
    <w:rsid w:val="005B50E1"/>
    <w:rsid w:val="005B6FC1"/>
    <w:rsid w:val="005B7E9B"/>
    <w:rsid w:val="005C1C38"/>
    <w:rsid w:val="005C20B1"/>
    <w:rsid w:val="005C7249"/>
    <w:rsid w:val="005C78E8"/>
    <w:rsid w:val="005D0D91"/>
    <w:rsid w:val="005D28B3"/>
    <w:rsid w:val="005D58DB"/>
    <w:rsid w:val="005D6D0D"/>
    <w:rsid w:val="005D77B8"/>
    <w:rsid w:val="005E1931"/>
    <w:rsid w:val="005E1954"/>
    <w:rsid w:val="005E3FAB"/>
    <w:rsid w:val="005E557D"/>
    <w:rsid w:val="005E5829"/>
    <w:rsid w:val="005E607F"/>
    <w:rsid w:val="005E7394"/>
    <w:rsid w:val="005F2101"/>
    <w:rsid w:val="005F43FD"/>
    <w:rsid w:val="005F7414"/>
    <w:rsid w:val="005F7882"/>
    <w:rsid w:val="00600B22"/>
    <w:rsid w:val="00600FF8"/>
    <w:rsid w:val="0060754D"/>
    <w:rsid w:val="00611325"/>
    <w:rsid w:val="00611B94"/>
    <w:rsid w:val="00612163"/>
    <w:rsid w:val="00613441"/>
    <w:rsid w:val="00614AB1"/>
    <w:rsid w:val="00621466"/>
    <w:rsid w:val="00636430"/>
    <w:rsid w:val="00636E4F"/>
    <w:rsid w:val="00637F58"/>
    <w:rsid w:val="00645F70"/>
    <w:rsid w:val="00646C1E"/>
    <w:rsid w:val="00646D47"/>
    <w:rsid w:val="00647277"/>
    <w:rsid w:val="00651160"/>
    <w:rsid w:val="00651780"/>
    <w:rsid w:val="00654EC8"/>
    <w:rsid w:val="00657061"/>
    <w:rsid w:val="006802F3"/>
    <w:rsid w:val="006803F2"/>
    <w:rsid w:val="00684A40"/>
    <w:rsid w:val="006866BC"/>
    <w:rsid w:val="00691B88"/>
    <w:rsid w:val="006949A0"/>
    <w:rsid w:val="00694C84"/>
    <w:rsid w:val="006A0D04"/>
    <w:rsid w:val="006A2CEF"/>
    <w:rsid w:val="006A368B"/>
    <w:rsid w:val="006A46AB"/>
    <w:rsid w:val="006A77AE"/>
    <w:rsid w:val="006B5FB1"/>
    <w:rsid w:val="006B6091"/>
    <w:rsid w:val="006B7E98"/>
    <w:rsid w:val="006C0951"/>
    <w:rsid w:val="006C0D18"/>
    <w:rsid w:val="006C1C2A"/>
    <w:rsid w:val="006D024A"/>
    <w:rsid w:val="006D0ABD"/>
    <w:rsid w:val="006D18AF"/>
    <w:rsid w:val="006D3BE6"/>
    <w:rsid w:val="006D4BED"/>
    <w:rsid w:val="006D589E"/>
    <w:rsid w:val="006E153A"/>
    <w:rsid w:val="006E247F"/>
    <w:rsid w:val="006E440F"/>
    <w:rsid w:val="006E4AB0"/>
    <w:rsid w:val="006E6F94"/>
    <w:rsid w:val="006F10D0"/>
    <w:rsid w:val="006F166A"/>
    <w:rsid w:val="006F4651"/>
    <w:rsid w:val="006F6059"/>
    <w:rsid w:val="006F661C"/>
    <w:rsid w:val="006F6D58"/>
    <w:rsid w:val="006F7608"/>
    <w:rsid w:val="00700B73"/>
    <w:rsid w:val="00702807"/>
    <w:rsid w:val="00705615"/>
    <w:rsid w:val="007068A7"/>
    <w:rsid w:val="007108A6"/>
    <w:rsid w:val="00711104"/>
    <w:rsid w:val="00712967"/>
    <w:rsid w:val="00714BAE"/>
    <w:rsid w:val="00715C0A"/>
    <w:rsid w:val="00722CA8"/>
    <w:rsid w:val="007233CD"/>
    <w:rsid w:val="007251BD"/>
    <w:rsid w:val="007279C2"/>
    <w:rsid w:val="00731463"/>
    <w:rsid w:val="00732236"/>
    <w:rsid w:val="00734B21"/>
    <w:rsid w:val="00735BD9"/>
    <w:rsid w:val="0074095D"/>
    <w:rsid w:val="00741A59"/>
    <w:rsid w:val="00741B8F"/>
    <w:rsid w:val="00745013"/>
    <w:rsid w:val="00746491"/>
    <w:rsid w:val="007477BE"/>
    <w:rsid w:val="007503DF"/>
    <w:rsid w:val="00750A9A"/>
    <w:rsid w:val="00752681"/>
    <w:rsid w:val="0075637A"/>
    <w:rsid w:val="007567CD"/>
    <w:rsid w:val="00757FFC"/>
    <w:rsid w:val="007613B1"/>
    <w:rsid w:val="00763A42"/>
    <w:rsid w:val="00765595"/>
    <w:rsid w:val="007678BC"/>
    <w:rsid w:val="00772247"/>
    <w:rsid w:val="0077372D"/>
    <w:rsid w:val="00773D50"/>
    <w:rsid w:val="00775673"/>
    <w:rsid w:val="007761A5"/>
    <w:rsid w:val="00776334"/>
    <w:rsid w:val="00776DE0"/>
    <w:rsid w:val="00780D5C"/>
    <w:rsid w:val="00781F1C"/>
    <w:rsid w:val="00782AC9"/>
    <w:rsid w:val="007857C0"/>
    <w:rsid w:val="00785D7C"/>
    <w:rsid w:val="0079042E"/>
    <w:rsid w:val="00791203"/>
    <w:rsid w:val="00792DD2"/>
    <w:rsid w:val="00795756"/>
    <w:rsid w:val="007963F8"/>
    <w:rsid w:val="0079709A"/>
    <w:rsid w:val="007977A5"/>
    <w:rsid w:val="00797E43"/>
    <w:rsid w:val="007A1B22"/>
    <w:rsid w:val="007A1F8E"/>
    <w:rsid w:val="007A3A62"/>
    <w:rsid w:val="007A6253"/>
    <w:rsid w:val="007A7279"/>
    <w:rsid w:val="007A7BC7"/>
    <w:rsid w:val="007B3A9C"/>
    <w:rsid w:val="007B5B3E"/>
    <w:rsid w:val="007B7DA7"/>
    <w:rsid w:val="007C0CD3"/>
    <w:rsid w:val="007C0E7F"/>
    <w:rsid w:val="007C1B59"/>
    <w:rsid w:val="007C1E2D"/>
    <w:rsid w:val="007C2C97"/>
    <w:rsid w:val="007C3AE8"/>
    <w:rsid w:val="007C6A47"/>
    <w:rsid w:val="007C7DBD"/>
    <w:rsid w:val="007D0BC3"/>
    <w:rsid w:val="007D2268"/>
    <w:rsid w:val="007D4C0A"/>
    <w:rsid w:val="007D4DE7"/>
    <w:rsid w:val="007D58C8"/>
    <w:rsid w:val="007D5E79"/>
    <w:rsid w:val="007E1372"/>
    <w:rsid w:val="007E20AC"/>
    <w:rsid w:val="007E32FB"/>
    <w:rsid w:val="0080561A"/>
    <w:rsid w:val="00807774"/>
    <w:rsid w:val="00807BAB"/>
    <w:rsid w:val="008125D6"/>
    <w:rsid w:val="00813BCD"/>
    <w:rsid w:val="008170EE"/>
    <w:rsid w:val="008177A0"/>
    <w:rsid w:val="00817A3C"/>
    <w:rsid w:val="008213AC"/>
    <w:rsid w:val="008223CC"/>
    <w:rsid w:val="00822446"/>
    <w:rsid w:val="00824D77"/>
    <w:rsid w:val="00825141"/>
    <w:rsid w:val="00825468"/>
    <w:rsid w:val="0082766B"/>
    <w:rsid w:val="008311B8"/>
    <w:rsid w:val="00836F54"/>
    <w:rsid w:val="008417B5"/>
    <w:rsid w:val="00845423"/>
    <w:rsid w:val="00845718"/>
    <w:rsid w:val="00845EA1"/>
    <w:rsid w:val="00846DA0"/>
    <w:rsid w:val="008506DE"/>
    <w:rsid w:val="008514B1"/>
    <w:rsid w:val="00851851"/>
    <w:rsid w:val="00854CE6"/>
    <w:rsid w:val="00857837"/>
    <w:rsid w:val="00860384"/>
    <w:rsid w:val="00860F79"/>
    <w:rsid w:val="00862D34"/>
    <w:rsid w:val="00871A66"/>
    <w:rsid w:val="0087426B"/>
    <w:rsid w:val="0087506F"/>
    <w:rsid w:val="008754C9"/>
    <w:rsid w:val="00881634"/>
    <w:rsid w:val="00883B5A"/>
    <w:rsid w:val="00884C6F"/>
    <w:rsid w:val="0088544A"/>
    <w:rsid w:val="0088642C"/>
    <w:rsid w:val="008914D3"/>
    <w:rsid w:val="00891662"/>
    <w:rsid w:val="0089269B"/>
    <w:rsid w:val="00894AC7"/>
    <w:rsid w:val="0089591D"/>
    <w:rsid w:val="00896130"/>
    <w:rsid w:val="00896753"/>
    <w:rsid w:val="00896F8E"/>
    <w:rsid w:val="008A483B"/>
    <w:rsid w:val="008A63A6"/>
    <w:rsid w:val="008B09D7"/>
    <w:rsid w:val="008B1D83"/>
    <w:rsid w:val="008B3538"/>
    <w:rsid w:val="008B6E46"/>
    <w:rsid w:val="008B6F16"/>
    <w:rsid w:val="008C2B67"/>
    <w:rsid w:val="008C3D72"/>
    <w:rsid w:val="008C41C8"/>
    <w:rsid w:val="008C458D"/>
    <w:rsid w:val="008D1B19"/>
    <w:rsid w:val="008D3A47"/>
    <w:rsid w:val="008D3B31"/>
    <w:rsid w:val="008D4989"/>
    <w:rsid w:val="008D4BFF"/>
    <w:rsid w:val="008E0E95"/>
    <w:rsid w:val="008E158E"/>
    <w:rsid w:val="008F0065"/>
    <w:rsid w:val="008F0DF8"/>
    <w:rsid w:val="008F1A39"/>
    <w:rsid w:val="008F4BC8"/>
    <w:rsid w:val="008F5AFF"/>
    <w:rsid w:val="008F611A"/>
    <w:rsid w:val="008F7818"/>
    <w:rsid w:val="008F7958"/>
    <w:rsid w:val="00901492"/>
    <w:rsid w:val="009025A3"/>
    <w:rsid w:val="00903AB7"/>
    <w:rsid w:val="00904F82"/>
    <w:rsid w:val="00910321"/>
    <w:rsid w:val="00910DC4"/>
    <w:rsid w:val="00911AFF"/>
    <w:rsid w:val="009120D6"/>
    <w:rsid w:val="00912BC0"/>
    <w:rsid w:val="00912E53"/>
    <w:rsid w:val="00920289"/>
    <w:rsid w:val="009243AF"/>
    <w:rsid w:val="0092473A"/>
    <w:rsid w:val="00924828"/>
    <w:rsid w:val="00924EC3"/>
    <w:rsid w:val="00926F29"/>
    <w:rsid w:val="00927B13"/>
    <w:rsid w:val="00930130"/>
    <w:rsid w:val="00930FA9"/>
    <w:rsid w:val="00933FA6"/>
    <w:rsid w:val="0093561D"/>
    <w:rsid w:val="00935F2D"/>
    <w:rsid w:val="00935FA8"/>
    <w:rsid w:val="00940999"/>
    <w:rsid w:val="00942EDD"/>
    <w:rsid w:val="00944175"/>
    <w:rsid w:val="00950B91"/>
    <w:rsid w:val="00956563"/>
    <w:rsid w:val="00956744"/>
    <w:rsid w:val="00960601"/>
    <w:rsid w:val="00962971"/>
    <w:rsid w:val="00963061"/>
    <w:rsid w:val="00963AD5"/>
    <w:rsid w:val="009648AC"/>
    <w:rsid w:val="00972DF7"/>
    <w:rsid w:val="00972F56"/>
    <w:rsid w:val="00974E92"/>
    <w:rsid w:val="009757C8"/>
    <w:rsid w:val="00980307"/>
    <w:rsid w:val="00980610"/>
    <w:rsid w:val="009827D2"/>
    <w:rsid w:val="0098616B"/>
    <w:rsid w:val="00986456"/>
    <w:rsid w:val="00987372"/>
    <w:rsid w:val="009911FD"/>
    <w:rsid w:val="00992537"/>
    <w:rsid w:val="00996B77"/>
    <w:rsid w:val="00996E96"/>
    <w:rsid w:val="009A40A0"/>
    <w:rsid w:val="009A5B7A"/>
    <w:rsid w:val="009A6E20"/>
    <w:rsid w:val="009B347B"/>
    <w:rsid w:val="009B4762"/>
    <w:rsid w:val="009B66BF"/>
    <w:rsid w:val="009B73BD"/>
    <w:rsid w:val="009C167F"/>
    <w:rsid w:val="009C2A19"/>
    <w:rsid w:val="009C4153"/>
    <w:rsid w:val="009D16A0"/>
    <w:rsid w:val="009D69F6"/>
    <w:rsid w:val="009D7041"/>
    <w:rsid w:val="009E67CE"/>
    <w:rsid w:val="009F142A"/>
    <w:rsid w:val="009F3E8B"/>
    <w:rsid w:val="009F5395"/>
    <w:rsid w:val="009F54B8"/>
    <w:rsid w:val="009F557C"/>
    <w:rsid w:val="009F7F5E"/>
    <w:rsid w:val="00A00BA3"/>
    <w:rsid w:val="00A074A1"/>
    <w:rsid w:val="00A07B83"/>
    <w:rsid w:val="00A22F43"/>
    <w:rsid w:val="00A25A3F"/>
    <w:rsid w:val="00A25A8F"/>
    <w:rsid w:val="00A32DFC"/>
    <w:rsid w:val="00A346CD"/>
    <w:rsid w:val="00A41C61"/>
    <w:rsid w:val="00A43298"/>
    <w:rsid w:val="00A452E8"/>
    <w:rsid w:val="00A47EB1"/>
    <w:rsid w:val="00A541D3"/>
    <w:rsid w:val="00A54980"/>
    <w:rsid w:val="00A54D2F"/>
    <w:rsid w:val="00A554EE"/>
    <w:rsid w:val="00A558FC"/>
    <w:rsid w:val="00A5700D"/>
    <w:rsid w:val="00A60624"/>
    <w:rsid w:val="00A64BB2"/>
    <w:rsid w:val="00A65FE3"/>
    <w:rsid w:val="00A70057"/>
    <w:rsid w:val="00A70D97"/>
    <w:rsid w:val="00A719DE"/>
    <w:rsid w:val="00A7229F"/>
    <w:rsid w:val="00A75E31"/>
    <w:rsid w:val="00A77032"/>
    <w:rsid w:val="00A771A5"/>
    <w:rsid w:val="00A77472"/>
    <w:rsid w:val="00A81AFB"/>
    <w:rsid w:val="00A84EF5"/>
    <w:rsid w:val="00A903BB"/>
    <w:rsid w:val="00A91533"/>
    <w:rsid w:val="00A92C4B"/>
    <w:rsid w:val="00A93B4F"/>
    <w:rsid w:val="00A94907"/>
    <w:rsid w:val="00A958FD"/>
    <w:rsid w:val="00A95931"/>
    <w:rsid w:val="00AA0D37"/>
    <w:rsid w:val="00AA1AC0"/>
    <w:rsid w:val="00AA3FC9"/>
    <w:rsid w:val="00AA781C"/>
    <w:rsid w:val="00AA7E34"/>
    <w:rsid w:val="00AB06F9"/>
    <w:rsid w:val="00AB07B9"/>
    <w:rsid w:val="00AB48AD"/>
    <w:rsid w:val="00AB4F3E"/>
    <w:rsid w:val="00AB4FC1"/>
    <w:rsid w:val="00AC347A"/>
    <w:rsid w:val="00AC4706"/>
    <w:rsid w:val="00AC4DAA"/>
    <w:rsid w:val="00AC6F1F"/>
    <w:rsid w:val="00AD1301"/>
    <w:rsid w:val="00AD1D18"/>
    <w:rsid w:val="00AD4668"/>
    <w:rsid w:val="00AD4D0E"/>
    <w:rsid w:val="00AD4EC1"/>
    <w:rsid w:val="00AD503A"/>
    <w:rsid w:val="00AD757C"/>
    <w:rsid w:val="00AD778F"/>
    <w:rsid w:val="00AE0766"/>
    <w:rsid w:val="00AE1853"/>
    <w:rsid w:val="00AE274A"/>
    <w:rsid w:val="00AE3C6A"/>
    <w:rsid w:val="00AE719C"/>
    <w:rsid w:val="00AF2EE2"/>
    <w:rsid w:val="00AF6FA3"/>
    <w:rsid w:val="00AF7205"/>
    <w:rsid w:val="00B00157"/>
    <w:rsid w:val="00B01568"/>
    <w:rsid w:val="00B02256"/>
    <w:rsid w:val="00B036FB"/>
    <w:rsid w:val="00B06504"/>
    <w:rsid w:val="00B1015B"/>
    <w:rsid w:val="00B10C61"/>
    <w:rsid w:val="00B12652"/>
    <w:rsid w:val="00B148E5"/>
    <w:rsid w:val="00B17EBC"/>
    <w:rsid w:val="00B218FC"/>
    <w:rsid w:val="00B2199F"/>
    <w:rsid w:val="00B22B23"/>
    <w:rsid w:val="00B23442"/>
    <w:rsid w:val="00B237BB"/>
    <w:rsid w:val="00B26355"/>
    <w:rsid w:val="00B26D24"/>
    <w:rsid w:val="00B27A24"/>
    <w:rsid w:val="00B310B3"/>
    <w:rsid w:val="00B32AD9"/>
    <w:rsid w:val="00B34D7C"/>
    <w:rsid w:val="00B351E1"/>
    <w:rsid w:val="00B3665D"/>
    <w:rsid w:val="00B42D74"/>
    <w:rsid w:val="00B45D3C"/>
    <w:rsid w:val="00B461BD"/>
    <w:rsid w:val="00B479BA"/>
    <w:rsid w:val="00B502AB"/>
    <w:rsid w:val="00B5503C"/>
    <w:rsid w:val="00B57E4D"/>
    <w:rsid w:val="00B63315"/>
    <w:rsid w:val="00B64635"/>
    <w:rsid w:val="00B6468A"/>
    <w:rsid w:val="00B66AC6"/>
    <w:rsid w:val="00B66DD5"/>
    <w:rsid w:val="00B6717D"/>
    <w:rsid w:val="00B675C1"/>
    <w:rsid w:val="00B70F62"/>
    <w:rsid w:val="00B72FBB"/>
    <w:rsid w:val="00B75831"/>
    <w:rsid w:val="00B769B4"/>
    <w:rsid w:val="00B81026"/>
    <w:rsid w:val="00B81C11"/>
    <w:rsid w:val="00B9244F"/>
    <w:rsid w:val="00B95086"/>
    <w:rsid w:val="00B9586B"/>
    <w:rsid w:val="00B95B85"/>
    <w:rsid w:val="00BA065B"/>
    <w:rsid w:val="00BA0A23"/>
    <w:rsid w:val="00BA5357"/>
    <w:rsid w:val="00BA5FED"/>
    <w:rsid w:val="00BA661C"/>
    <w:rsid w:val="00BA6927"/>
    <w:rsid w:val="00BB0F17"/>
    <w:rsid w:val="00BB30CF"/>
    <w:rsid w:val="00BB32A8"/>
    <w:rsid w:val="00BB5465"/>
    <w:rsid w:val="00BB5BD6"/>
    <w:rsid w:val="00BC3B1E"/>
    <w:rsid w:val="00BC465F"/>
    <w:rsid w:val="00BC6B1F"/>
    <w:rsid w:val="00BC7CB1"/>
    <w:rsid w:val="00BD4A93"/>
    <w:rsid w:val="00BD549E"/>
    <w:rsid w:val="00BD6CDD"/>
    <w:rsid w:val="00BE2B04"/>
    <w:rsid w:val="00BE2CE7"/>
    <w:rsid w:val="00BE38CC"/>
    <w:rsid w:val="00BE52B6"/>
    <w:rsid w:val="00BF13B9"/>
    <w:rsid w:val="00BF544F"/>
    <w:rsid w:val="00BF56BE"/>
    <w:rsid w:val="00BF6F54"/>
    <w:rsid w:val="00C00A8C"/>
    <w:rsid w:val="00C01268"/>
    <w:rsid w:val="00C050C6"/>
    <w:rsid w:val="00C0533B"/>
    <w:rsid w:val="00C0638D"/>
    <w:rsid w:val="00C1310D"/>
    <w:rsid w:val="00C15409"/>
    <w:rsid w:val="00C15FF7"/>
    <w:rsid w:val="00C16A78"/>
    <w:rsid w:val="00C16B7B"/>
    <w:rsid w:val="00C170A7"/>
    <w:rsid w:val="00C2295B"/>
    <w:rsid w:val="00C22F60"/>
    <w:rsid w:val="00C34EDA"/>
    <w:rsid w:val="00C353C4"/>
    <w:rsid w:val="00C35BFC"/>
    <w:rsid w:val="00C3687A"/>
    <w:rsid w:val="00C36E50"/>
    <w:rsid w:val="00C40118"/>
    <w:rsid w:val="00C4695C"/>
    <w:rsid w:val="00C515E4"/>
    <w:rsid w:val="00C5409A"/>
    <w:rsid w:val="00C54F17"/>
    <w:rsid w:val="00C555D9"/>
    <w:rsid w:val="00C569B1"/>
    <w:rsid w:val="00C5759C"/>
    <w:rsid w:val="00C65F12"/>
    <w:rsid w:val="00C67D7C"/>
    <w:rsid w:val="00C71504"/>
    <w:rsid w:val="00C74642"/>
    <w:rsid w:val="00C753A1"/>
    <w:rsid w:val="00C82CC0"/>
    <w:rsid w:val="00C843C7"/>
    <w:rsid w:val="00C878F5"/>
    <w:rsid w:val="00C90C9B"/>
    <w:rsid w:val="00C921CA"/>
    <w:rsid w:val="00C927AD"/>
    <w:rsid w:val="00C93909"/>
    <w:rsid w:val="00CA22D1"/>
    <w:rsid w:val="00CA416C"/>
    <w:rsid w:val="00CB0E61"/>
    <w:rsid w:val="00CB1CC6"/>
    <w:rsid w:val="00CB1D6F"/>
    <w:rsid w:val="00CB3EC3"/>
    <w:rsid w:val="00CC033A"/>
    <w:rsid w:val="00CC092D"/>
    <w:rsid w:val="00CC0B12"/>
    <w:rsid w:val="00CC391A"/>
    <w:rsid w:val="00CC622B"/>
    <w:rsid w:val="00CC7706"/>
    <w:rsid w:val="00CD1FD9"/>
    <w:rsid w:val="00CD338A"/>
    <w:rsid w:val="00CD4643"/>
    <w:rsid w:val="00CD4BC3"/>
    <w:rsid w:val="00CE24EE"/>
    <w:rsid w:val="00CE5D78"/>
    <w:rsid w:val="00CE5F98"/>
    <w:rsid w:val="00CE6A50"/>
    <w:rsid w:val="00CF095F"/>
    <w:rsid w:val="00CF35B9"/>
    <w:rsid w:val="00CF64D9"/>
    <w:rsid w:val="00D03539"/>
    <w:rsid w:val="00D11EAE"/>
    <w:rsid w:val="00D14132"/>
    <w:rsid w:val="00D14A41"/>
    <w:rsid w:val="00D15248"/>
    <w:rsid w:val="00D1538D"/>
    <w:rsid w:val="00D1568C"/>
    <w:rsid w:val="00D226D6"/>
    <w:rsid w:val="00D23437"/>
    <w:rsid w:val="00D24776"/>
    <w:rsid w:val="00D25599"/>
    <w:rsid w:val="00D32A2D"/>
    <w:rsid w:val="00D333EA"/>
    <w:rsid w:val="00D337F4"/>
    <w:rsid w:val="00D34AAD"/>
    <w:rsid w:val="00D368BE"/>
    <w:rsid w:val="00D40B4E"/>
    <w:rsid w:val="00D413CB"/>
    <w:rsid w:val="00D43122"/>
    <w:rsid w:val="00D43380"/>
    <w:rsid w:val="00D44925"/>
    <w:rsid w:val="00D467D8"/>
    <w:rsid w:val="00D46DB2"/>
    <w:rsid w:val="00D5136B"/>
    <w:rsid w:val="00D52F31"/>
    <w:rsid w:val="00D53B8C"/>
    <w:rsid w:val="00D54561"/>
    <w:rsid w:val="00D56E78"/>
    <w:rsid w:val="00D56FB5"/>
    <w:rsid w:val="00D61300"/>
    <w:rsid w:val="00D6162D"/>
    <w:rsid w:val="00D619D3"/>
    <w:rsid w:val="00D62017"/>
    <w:rsid w:val="00D65797"/>
    <w:rsid w:val="00D657CC"/>
    <w:rsid w:val="00D65A75"/>
    <w:rsid w:val="00D67070"/>
    <w:rsid w:val="00D6794E"/>
    <w:rsid w:val="00D704BF"/>
    <w:rsid w:val="00D70ACA"/>
    <w:rsid w:val="00D712C5"/>
    <w:rsid w:val="00D722A2"/>
    <w:rsid w:val="00D756E9"/>
    <w:rsid w:val="00D75F5E"/>
    <w:rsid w:val="00D76B2F"/>
    <w:rsid w:val="00D77D7F"/>
    <w:rsid w:val="00D818CD"/>
    <w:rsid w:val="00D81B5C"/>
    <w:rsid w:val="00D843A6"/>
    <w:rsid w:val="00D92B1C"/>
    <w:rsid w:val="00D92EDB"/>
    <w:rsid w:val="00D931E6"/>
    <w:rsid w:val="00D94DE2"/>
    <w:rsid w:val="00D960F2"/>
    <w:rsid w:val="00D96CCB"/>
    <w:rsid w:val="00D97210"/>
    <w:rsid w:val="00D975A3"/>
    <w:rsid w:val="00DA139B"/>
    <w:rsid w:val="00DA69B2"/>
    <w:rsid w:val="00DB046F"/>
    <w:rsid w:val="00DB1F4F"/>
    <w:rsid w:val="00DB3C16"/>
    <w:rsid w:val="00DB3CCE"/>
    <w:rsid w:val="00DB3F6F"/>
    <w:rsid w:val="00DC1383"/>
    <w:rsid w:val="00DC310A"/>
    <w:rsid w:val="00DC479F"/>
    <w:rsid w:val="00DC5558"/>
    <w:rsid w:val="00DC5725"/>
    <w:rsid w:val="00DC6B6E"/>
    <w:rsid w:val="00DC79C8"/>
    <w:rsid w:val="00DD0115"/>
    <w:rsid w:val="00DD2809"/>
    <w:rsid w:val="00DF0AE6"/>
    <w:rsid w:val="00DF1844"/>
    <w:rsid w:val="00DF1B09"/>
    <w:rsid w:val="00DF1DC9"/>
    <w:rsid w:val="00E07D22"/>
    <w:rsid w:val="00E07F80"/>
    <w:rsid w:val="00E1140A"/>
    <w:rsid w:val="00E13431"/>
    <w:rsid w:val="00E1529E"/>
    <w:rsid w:val="00E20564"/>
    <w:rsid w:val="00E21C37"/>
    <w:rsid w:val="00E22AE7"/>
    <w:rsid w:val="00E23A7E"/>
    <w:rsid w:val="00E30128"/>
    <w:rsid w:val="00E329CF"/>
    <w:rsid w:val="00E3558D"/>
    <w:rsid w:val="00E3584B"/>
    <w:rsid w:val="00E358F4"/>
    <w:rsid w:val="00E41D14"/>
    <w:rsid w:val="00E42160"/>
    <w:rsid w:val="00E42973"/>
    <w:rsid w:val="00E43C0A"/>
    <w:rsid w:val="00E45B1F"/>
    <w:rsid w:val="00E45CEC"/>
    <w:rsid w:val="00E46460"/>
    <w:rsid w:val="00E514B6"/>
    <w:rsid w:val="00E51809"/>
    <w:rsid w:val="00E5340E"/>
    <w:rsid w:val="00E541F3"/>
    <w:rsid w:val="00E54903"/>
    <w:rsid w:val="00E54A30"/>
    <w:rsid w:val="00E5544E"/>
    <w:rsid w:val="00E620E6"/>
    <w:rsid w:val="00E62313"/>
    <w:rsid w:val="00E65E12"/>
    <w:rsid w:val="00E7124B"/>
    <w:rsid w:val="00E74045"/>
    <w:rsid w:val="00E74585"/>
    <w:rsid w:val="00E75DCD"/>
    <w:rsid w:val="00E77001"/>
    <w:rsid w:val="00E80FE6"/>
    <w:rsid w:val="00E85CD8"/>
    <w:rsid w:val="00E8609A"/>
    <w:rsid w:val="00E93269"/>
    <w:rsid w:val="00E939E9"/>
    <w:rsid w:val="00E94EF0"/>
    <w:rsid w:val="00E95891"/>
    <w:rsid w:val="00E979A2"/>
    <w:rsid w:val="00EA0BDF"/>
    <w:rsid w:val="00EA12CF"/>
    <w:rsid w:val="00EA1B62"/>
    <w:rsid w:val="00EA1F70"/>
    <w:rsid w:val="00EA5D4A"/>
    <w:rsid w:val="00EA6310"/>
    <w:rsid w:val="00EA7EB3"/>
    <w:rsid w:val="00EB3F40"/>
    <w:rsid w:val="00EB4AD5"/>
    <w:rsid w:val="00EB589F"/>
    <w:rsid w:val="00EB79B5"/>
    <w:rsid w:val="00EB7C57"/>
    <w:rsid w:val="00EC11B8"/>
    <w:rsid w:val="00EC1479"/>
    <w:rsid w:val="00EC20B0"/>
    <w:rsid w:val="00ED2479"/>
    <w:rsid w:val="00ED251E"/>
    <w:rsid w:val="00ED2BC3"/>
    <w:rsid w:val="00ED4164"/>
    <w:rsid w:val="00ED6026"/>
    <w:rsid w:val="00ED7139"/>
    <w:rsid w:val="00EE0FD7"/>
    <w:rsid w:val="00EE4953"/>
    <w:rsid w:val="00EE4CB8"/>
    <w:rsid w:val="00EF07CC"/>
    <w:rsid w:val="00EF4DC9"/>
    <w:rsid w:val="00EF5643"/>
    <w:rsid w:val="00EF7500"/>
    <w:rsid w:val="00EF7761"/>
    <w:rsid w:val="00F01613"/>
    <w:rsid w:val="00F0182A"/>
    <w:rsid w:val="00F0382B"/>
    <w:rsid w:val="00F11EA2"/>
    <w:rsid w:val="00F13ED7"/>
    <w:rsid w:val="00F1499A"/>
    <w:rsid w:val="00F20028"/>
    <w:rsid w:val="00F2035A"/>
    <w:rsid w:val="00F27163"/>
    <w:rsid w:val="00F27AF5"/>
    <w:rsid w:val="00F27C39"/>
    <w:rsid w:val="00F27F4E"/>
    <w:rsid w:val="00F34A02"/>
    <w:rsid w:val="00F409A1"/>
    <w:rsid w:val="00F410A4"/>
    <w:rsid w:val="00F418A7"/>
    <w:rsid w:val="00F41E36"/>
    <w:rsid w:val="00F45001"/>
    <w:rsid w:val="00F463FD"/>
    <w:rsid w:val="00F46734"/>
    <w:rsid w:val="00F522CD"/>
    <w:rsid w:val="00F55202"/>
    <w:rsid w:val="00F5644D"/>
    <w:rsid w:val="00F577FA"/>
    <w:rsid w:val="00F62907"/>
    <w:rsid w:val="00F62D46"/>
    <w:rsid w:val="00F63B61"/>
    <w:rsid w:val="00F63B8F"/>
    <w:rsid w:val="00F64B27"/>
    <w:rsid w:val="00F722C5"/>
    <w:rsid w:val="00F7316E"/>
    <w:rsid w:val="00F77A06"/>
    <w:rsid w:val="00F83523"/>
    <w:rsid w:val="00F84EEC"/>
    <w:rsid w:val="00F85F38"/>
    <w:rsid w:val="00F87619"/>
    <w:rsid w:val="00F919D8"/>
    <w:rsid w:val="00F91B58"/>
    <w:rsid w:val="00F93C3A"/>
    <w:rsid w:val="00F95491"/>
    <w:rsid w:val="00F961CE"/>
    <w:rsid w:val="00F97506"/>
    <w:rsid w:val="00FA063E"/>
    <w:rsid w:val="00FA1687"/>
    <w:rsid w:val="00FA1834"/>
    <w:rsid w:val="00FA2381"/>
    <w:rsid w:val="00FA407A"/>
    <w:rsid w:val="00FA4638"/>
    <w:rsid w:val="00FA4D2D"/>
    <w:rsid w:val="00FA78F4"/>
    <w:rsid w:val="00FB5B83"/>
    <w:rsid w:val="00FB67F3"/>
    <w:rsid w:val="00FC0F99"/>
    <w:rsid w:val="00FC20A7"/>
    <w:rsid w:val="00FC4079"/>
    <w:rsid w:val="00FC4C36"/>
    <w:rsid w:val="00FC54D4"/>
    <w:rsid w:val="00FC5DA0"/>
    <w:rsid w:val="00FC7974"/>
    <w:rsid w:val="00FD3184"/>
    <w:rsid w:val="00FD3661"/>
    <w:rsid w:val="00FD42B7"/>
    <w:rsid w:val="00FD431D"/>
    <w:rsid w:val="00FD76F4"/>
    <w:rsid w:val="00FE17D5"/>
    <w:rsid w:val="00FE1FAE"/>
    <w:rsid w:val="00FE53F5"/>
    <w:rsid w:val="00FE5C5F"/>
    <w:rsid w:val="00FE7040"/>
    <w:rsid w:val="00FE7919"/>
    <w:rsid w:val="00FF040F"/>
    <w:rsid w:val="00FF16EA"/>
    <w:rsid w:val="00FF1AB5"/>
    <w:rsid w:val="00FF334B"/>
    <w:rsid w:val="00FF5549"/>
    <w:rsid w:val="00FF5FF7"/>
    <w:rsid w:val="00FF78B3"/>
    <w:rsid w:val="017117FD"/>
    <w:rsid w:val="03F76913"/>
    <w:rsid w:val="0409735F"/>
    <w:rsid w:val="044F3B3D"/>
    <w:rsid w:val="05897924"/>
    <w:rsid w:val="05A06F70"/>
    <w:rsid w:val="074F102F"/>
    <w:rsid w:val="098B77D9"/>
    <w:rsid w:val="0AF16304"/>
    <w:rsid w:val="0BB67368"/>
    <w:rsid w:val="0D9755F8"/>
    <w:rsid w:val="0E995449"/>
    <w:rsid w:val="0EB0021D"/>
    <w:rsid w:val="101D7CE4"/>
    <w:rsid w:val="10E33504"/>
    <w:rsid w:val="12FB6488"/>
    <w:rsid w:val="139E29BC"/>
    <w:rsid w:val="13C5643B"/>
    <w:rsid w:val="15197C6D"/>
    <w:rsid w:val="1A072393"/>
    <w:rsid w:val="1B405C99"/>
    <w:rsid w:val="1D690A4F"/>
    <w:rsid w:val="1F3A38B3"/>
    <w:rsid w:val="20640551"/>
    <w:rsid w:val="20DB1434"/>
    <w:rsid w:val="212D5E6F"/>
    <w:rsid w:val="25AC4B05"/>
    <w:rsid w:val="28557849"/>
    <w:rsid w:val="288172A7"/>
    <w:rsid w:val="2AF96DE7"/>
    <w:rsid w:val="2CA1286B"/>
    <w:rsid w:val="2E04120C"/>
    <w:rsid w:val="2ECB0835"/>
    <w:rsid w:val="2F1C3757"/>
    <w:rsid w:val="326127EB"/>
    <w:rsid w:val="351875ED"/>
    <w:rsid w:val="356929CA"/>
    <w:rsid w:val="35B657C2"/>
    <w:rsid w:val="3774565E"/>
    <w:rsid w:val="381352E1"/>
    <w:rsid w:val="3CCF106C"/>
    <w:rsid w:val="3F190F54"/>
    <w:rsid w:val="3F2C5322"/>
    <w:rsid w:val="40163E40"/>
    <w:rsid w:val="409D79D4"/>
    <w:rsid w:val="413761CE"/>
    <w:rsid w:val="46191654"/>
    <w:rsid w:val="501C315F"/>
    <w:rsid w:val="519750F0"/>
    <w:rsid w:val="522E51BF"/>
    <w:rsid w:val="5341761F"/>
    <w:rsid w:val="547B6C03"/>
    <w:rsid w:val="57E32964"/>
    <w:rsid w:val="58D1413D"/>
    <w:rsid w:val="59D06B62"/>
    <w:rsid w:val="5B0C4CF0"/>
    <w:rsid w:val="5B6E2B73"/>
    <w:rsid w:val="5BD77A36"/>
    <w:rsid w:val="5D343016"/>
    <w:rsid w:val="60BF17B4"/>
    <w:rsid w:val="61655522"/>
    <w:rsid w:val="63675164"/>
    <w:rsid w:val="643B2EDC"/>
    <w:rsid w:val="64AB21DB"/>
    <w:rsid w:val="65441463"/>
    <w:rsid w:val="67127D2D"/>
    <w:rsid w:val="67FA6E20"/>
    <w:rsid w:val="6896068D"/>
    <w:rsid w:val="6C3A04AE"/>
    <w:rsid w:val="71B86F07"/>
    <w:rsid w:val="725021C6"/>
    <w:rsid w:val="72A069C0"/>
    <w:rsid w:val="73D060D1"/>
    <w:rsid w:val="74712C49"/>
    <w:rsid w:val="75F84234"/>
    <w:rsid w:val="761E4F47"/>
    <w:rsid w:val="788D38E9"/>
    <w:rsid w:val="78E10D27"/>
    <w:rsid w:val="7B4D191B"/>
    <w:rsid w:val="7C005FBB"/>
    <w:rsid w:val="7F833E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line="420" w:lineRule="exact"/>
      <w:ind w:firstLine="195" w:firstLineChars="195"/>
    </w:pPr>
    <w:rPr>
      <w:szCs w:val="24"/>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index heading"/>
    <w:basedOn w:val="1"/>
    <w:next w:val="6"/>
    <w:qFormat/>
    <w:uiPriority w:val="0"/>
    <w:rPr>
      <w:szCs w:val="20"/>
    </w:rPr>
  </w:style>
  <w:style w:type="paragraph" w:styleId="6">
    <w:name w:val="index 1"/>
    <w:basedOn w:val="1"/>
    <w:next w:val="1"/>
    <w:semiHidden/>
    <w:unhideWhenUsed/>
    <w:qFormat/>
    <w:uiPriority w:val="99"/>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paragraph" w:styleId="11">
    <w:name w:val="List Paragraph"/>
    <w:basedOn w:val="1"/>
    <w:qFormat/>
    <w:uiPriority w:val="34"/>
    <w:pPr>
      <w:ind w:firstLine="420" w:firstLineChars="200"/>
    </w:pPr>
  </w:style>
  <w:style w:type="character" w:customStyle="1" w:styleId="12">
    <w:name w:val="页眉 Char"/>
    <w:basedOn w:val="9"/>
    <w:link w:val="4"/>
    <w:qFormat/>
    <w:uiPriority w:val="99"/>
    <w:rPr>
      <w:rFonts w:ascii="Times New Roman" w:hAnsi="Times New Roman" w:eastAsia="宋体" w:cs="Times New Roman"/>
      <w:sz w:val="18"/>
      <w:szCs w:val="18"/>
    </w:rPr>
  </w:style>
  <w:style w:type="character" w:customStyle="1" w:styleId="13">
    <w:name w:val="页脚 Char"/>
    <w:basedOn w:val="9"/>
    <w:link w:val="3"/>
    <w:qFormat/>
    <w:uiPriority w:val="99"/>
    <w:rPr>
      <w:rFonts w:ascii="Times New Roman" w:hAnsi="Times New Roman" w:eastAsia="宋体" w:cs="Times New Roman"/>
      <w:sz w:val="18"/>
      <w:szCs w:val="18"/>
    </w:rPr>
  </w:style>
  <w:style w:type="character" w:customStyle="1" w:styleId="14">
    <w:name w:val="font11"/>
    <w:basedOn w:val="9"/>
    <w:qFormat/>
    <w:uiPriority w:val="0"/>
    <w:rPr>
      <w:rFonts w:ascii="font-weight : 400" w:hAnsi="font-weight : 400" w:eastAsia="font-weight : 400" w:cs="font-weight : 400"/>
      <w:color w:val="000000"/>
      <w:sz w:val="22"/>
      <w:szCs w:val="22"/>
      <w:u w:val="none"/>
    </w:rPr>
  </w:style>
  <w:style w:type="character" w:customStyle="1" w:styleId="15">
    <w:name w:val="font01"/>
    <w:basedOn w:val="9"/>
    <w:qFormat/>
    <w:uiPriority w:val="0"/>
    <w:rPr>
      <w:rFonts w:hint="eastAsia" w:ascii="宋体" w:hAnsi="宋体" w:eastAsia="宋体" w:cs="宋体"/>
      <w:color w:val="000000"/>
      <w:sz w:val="22"/>
      <w:szCs w:val="22"/>
      <w:u w:val="none"/>
    </w:rPr>
  </w:style>
  <w:style w:type="paragraph" w:customStyle="1" w:styleId="16">
    <w:name w:val="样式4"/>
    <w:basedOn w:val="1"/>
    <w:link w:val="17"/>
    <w:qFormat/>
    <w:uiPriority w:val="0"/>
    <w:pPr>
      <w:tabs>
        <w:tab w:val="left" w:pos="4448"/>
      </w:tabs>
      <w:autoSpaceDE w:val="0"/>
      <w:autoSpaceDN w:val="0"/>
      <w:adjustRightInd w:val="0"/>
      <w:spacing w:line="360" w:lineRule="auto"/>
      <w:ind w:left="2836"/>
      <w:jc w:val="left"/>
    </w:pPr>
    <w:rPr>
      <w:rFonts w:ascii="宋体" w:hAnsi="宋体" w:cs="仿宋"/>
      <w:b/>
      <w:bCs/>
      <w:sz w:val="40"/>
      <w:szCs w:val="40"/>
    </w:rPr>
  </w:style>
  <w:style w:type="character" w:customStyle="1" w:styleId="17">
    <w:name w:val="样式4 Char"/>
    <w:link w:val="16"/>
    <w:qFormat/>
    <w:uiPriority w:val="0"/>
    <w:rPr>
      <w:rFonts w:ascii="宋体" w:hAnsi="宋体" w:cs="仿宋"/>
      <w:b/>
      <w:bCs/>
      <w:kern w:val="2"/>
      <w:sz w:val="40"/>
      <w:szCs w:val="4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15</Pages>
  <Words>9974</Words>
  <Characters>10171</Characters>
  <Lines>205</Lines>
  <Paragraphs>232</Paragraphs>
  <TotalTime>0</TotalTime>
  <ScaleCrop>false</ScaleCrop>
  <LinksUpToDate>false</LinksUpToDate>
  <CharactersWithSpaces>11123</CharactersWithSpaces>
  <Application>WPS Office_12.1.0.25225_F1E327BC-269C-435d-A152-05C5408002CA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2024-06-18T05:28:00Z</dcterms:created>
  <dc:creator>微软用户</dc:creator>
  <cp:lastModifiedBy>chao</cp:lastModifiedBy>
  <dcterms:modified xsi:type="dcterms:W3CDTF">2026-04-16T02:40:32Z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E20484B34CD7438E9BC1DD48780F7710_13</vt:lpwstr>
  </property>
  <property fmtid="{D5CDD505-2E9C-101B-9397-08002B2CF9AE}" pid="4" name="KSOTemplateDocerSaveRecord">
    <vt:lpwstr>eyJoZGlkIjoiODYwZmE2OWUxOTBhZWMyMjIwMTJjMWRjMTQwMzU3OGUiLCJ1c2VySWQiOiIzNDg3MDM4NjUifQ==</vt:lpwstr>
  </property>
</Properties>
</file>